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3786" w14:textId="3E0A9446" w:rsidR="00EC4FB3" w:rsidRPr="00086C2D" w:rsidRDefault="00EC4FB3" w:rsidP="00F52611">
      <w:pPr>
        <w:pStyle w:val="Heading1"/>
        <w:rPr>
          <w:szCs w:val="28"/>
        </w:rPr>
      </w:pPr>
      <w:bookmarkStart w:id="0" w:name="_Hlk519083569"/>
      <w:bookmarkStart w:id="1" w:name="_Hlk519083591"/>
      <w:r w:rsidRPr="00086C2D">
        <w:rPr>
          <w:szCs w:val="28"/>
        </w:rPr>
        <w:t>Purpose</w:t>
      </w:r>
    </w:p>
    <w:bookmarkEnd w:id="0"/>
    <w:p w14:paraId="0ED27DA5" w14:textId="586BAC5A" w:rsidR="004261A7" w:rsidRPr="00086C2D" w:rsidRDefault="004261A7" w:rsidP="004261A7">
      <w:pPr>
        <w:pStyle w:val="BodyText"/>
      </w:pPr>
      <w:r w:rsidRPr="00086C2D">
        <w:t>The Queensland Police Service Research Committee (QPSRC) is an internal body which considers research and evaluation projects involving data and/or resources of the Queensland Police Service (QPS). All research and evaluation, which involves the use of QPS resources (such as data, documents, or personnel), require submission to the QPSRC.</w:t>
      </w:r>
    </w:p>
    <w:p w14:paraId="1479D7EA" w14:textId="1D1B1C60" w:rsidR="00EC4FB3" w:rsidRPr="00086C2D" w:rsidRDefault="00866836" w:rsidP="00CE0139">
      <w:pPr>
        <w:pStyle w:val="BodyText"/>
      </w:pPr>
      <w:r w:rsidRPr="00086C2D">
        <w:t xml:space="preserve">The QPS will </w:t>
      </w:r>
      <w:proofErr w:type="spellStart"/>
      <w:r w:rsidRPr="00086C2D">
        <w:t>endeavour</w:t>
      </w:r>
      <w:proofErr w:type="spellEnd"/>
      <w:r w:rsidRPr="00086C2D">
        <w:t xml:space="preserve"> to satisfy, where possible, any reasonable request for research where there is a clear benefit to the </w:t>
      </w:r>
      <w:proofErr w:type="gramStart"/>
      <w:r w:rsidRPr="00086C2D">
        <w:t>QPS</w:t>
      </w:r>
      <w:proofErr w:type="gramEnd"/>
      <w:r w:rsidRPr="00086C2D">
        <w:t xml:space="preserve"> and a tangible outcome is likely. Accordingly, t</w:t>
      </w:r>
      <w:r w:rsidR="00EC4FB3" w:rsidRPr="00086C2D">
        <w:t>he QPSRC seeks to ensure research and evaluation projects involving data and/or resources of the Q</w:t>
      </w:r>
      <w:r w:rsidR="004261A7" w:rsidRPr="00086C2D">
        <w:t>PS</w:t>
      </w:r>
      <w:r w:rsidR="00EC4FB3" w:rsidRPr="00086C2D">
        <w:t>:</w:t>
      </w:r>
    </w:p>
    <w:p w14:paraId="17EC95F5" w14:textId="0433AAC1" w:rsidR="004261A7" w:rsidRPr="00086C2D" w:rsidRDefault="004261A7" w:rsidP="004261A7">
      <w:pPr>
        <w:pStyle w:val="List"/>
      </w:pPr>
      <w:bookmarkStart w:id="2" w:name="_Hlk33687756"/>
      <w:r w:rsidRPr="00086C2D">
        <w:t xml:space="preserve">align to the QPS Strategic </w:t>
      </w:r>
      <w:proofErr w:type="gramStart"/>
      <w:r w:rsidRPr="00086C2D">
        <w:t>Plan;</w:t>
      </w:r>
      <w:proofErr w:type="gramEnd"/>
    </w:p>
    <w:p w14:paraId="6A41A660" w14:textId="4D2A5839" w:rsidR="004261A7" w:rsidRPr="00086C2D" w:rsidRDefault="004261A7" w:rsidP="004261A7">
      <w:pPr>
        <w:pStyle w:val="List"/>
      </w:pPr>
      <w:r w:rsidRPr="00086C2D">
        <w:t xml:space="preserve">represent </w:t>
      </w:r>
      <w:proofErr w:type="gramStart"/>
      <w:r w:rsidRPr="00086C2D">
        <w:t>a desirable research</w:t>
      </w:r>
      <w:proofErr w:type="gramEnd"/>
      <w:r w:rsidRPr="00086C2D">
        <w:t xml:space="preserve"> topic; </w:t>
      </w:r>
    </w:p>
    <w:p w14:paraId="7398B0ED" w14:textId="6C875FB1" w:rsidR="004261A7" w:rsidRPr="00086C2D" w:rsidRDefault="004261A7" w:rsidP="004261A7">
      <w:pPr>
        <w:pStyle w:val="List"/>
      </w:pPr>
      <w:r w:rsidRPr="00086C2D">
        <w:t xml:space="preserve">inform QPS policy, practice and performance with tangible </w:t>
      </w:r>
      <w:proofErr w:type="gramStart"/>
      <w:r w:rsidRPr="00086C2D">
        <w:t>outcomes;</w:t>
      </w:r>
      <w:proofErr w:type="gramEnd"/>
    </w:p>
    <w:p w14:paraId="43C85E32" w14:textId="206EF31A" w:rsidR="004261A7" w:rsidRPr="00086C2D" w:rsidRDefault="004261A7" w:rsidP="004261A7">
      <w:pPr>
        <w:pStyle w:val="List"/>
      </w:pPr>
      <w:r w:rsidRPr="00086C2D">
        <w:t xml:space="preserve">represent a sound return on the QPS’s investment; including the development and use of Intellectual </w:t>
      </w:r>
      <w:proofErr w:type="gramStart"/>
      <w:r w:rsidRPr="00086C2D">
        <w:t>Property;</w:t>
      </w:r>
      <w:proofErr w:type="gramEnd"/>
    </w:p>
    <w:p w14:paraId="78D285CB" w14:textId="5B70F234" w:rsidR="004261A7" w:rsidRPr="00086C2D" w:rsidRDefault="004261A7" w:rsidP="004261A7">
      <w:pPr>
        <w:pStyle w:val="List"/>
      </w:pPr>
      <w:r w:rsidRPr="00086C2D">
        <w:t xml:space="preserve">support business review and </w:t>
      </w:r>
      <w:proofErr w:type="gramStart"/>
      <w:r w:rsidRPr="00086C2D">
        <w:t>improvement;</w:t>
      </w:r>
      <w:proofErr w:type="gramEnd"/>
    </w:p>
    <w:p w14:paraId="3F63B096" w14:textId="170892DB" w:rsidR="004261A7" w:rsidRPr="00086C2D" w:rsidRDefault="004261A7" w:rsidP="004261A7">
      <w:pPr>
        <w:pStyle w:val="List"/>
      </w:pPr>
      <w:r w:rsidRPr="00086C2D">
        <w:t>operate in a methodologically acceptable and rigorous manner; and</w:t>
      </w:r>
    </w:p>
    <w:p w14:paraId="6E7A3D6F" w14:textId="3EF6867E" w:rsidR="004261A7" w:rsidRPr="00086C2D" w:rsidRDefault="004261A7" w:rsidP="004261A7">
      <w:pPr>
        <w:pStyle w:val="List"/>
      </w:pPr>
      <w:r w:rsidRPr="00086C2D">
        <w:t>include the support of the QPS area affected by the research.</w:t>
      </w:r>
    </w:p>
    <w:p w14:paraId="2EB01FEF" w14:textId="22D2AEFD" w:rsidR="004261A7" w:rsidRPr="00086C2D" w:rsidRDefault="004261A7" w:rsidP="004261A7">
      <w:pPr>
        <w:pStyle w:val="BodyText"/>
      </w:pPr>
      <w:r w:rsidRPr="00086C2D">
        <w:t xml:space="preserve">The QPSRC will also consider how the research impacts on </w:t>
      </w:r>
      <w:r w:rsidR="00DE6F07" w:rsidRPr="00086C2D">
        <w:t>the QPS</w:t>
      </w:r>
      <w:r w:rsidR="00AD1080" w:rsidRPr="00086C2D">
        <w:t>’s</w:t>
      </w:r>
      <w:r w:rsidR="00DE6F07" w:rsidRPr="00086C2D">
        <w:t xml:space="preserve"> </w:t>
      </w:r>
      <w:r w:rsidRPr="00086C2D">
        <w:t>ability to effectively and efficiently:</w:t>
      </w:r>
    </w:p>
    <w:p w14:paraId="35C5E9C5" w14:textId="77777777" w:rsidR="004261A7" w:rsidRPr="00086C2D" w:rsidRDefault="004261A7" w:rsidP="004261A7">
      <w:pPr>
        <w:pStyle w:val="List"/>
      </w:pPr>
      <w:r w:rsidRPr="00086C2D">
        <w:t xml:space="preserve">meet law enforcement </w:t>
      </w:r>
      <w:proofErr w:type="gramStart"/>
      <w:r w:rsidRPr="00086C2D">
        <w:t>obligations;</w:t>
      </w:r>
      <w:proofErr w:type="gramEnd"/>
    </w:p>
    <w:p w14:paraId="04A5EB29" w14:textId="77777777" w:rsidR="004261A7" w:rsidRPr="00086C2D" w:rsidRDefault="004261A7" w:rsidP="004261A7">
      <w:pPr>
        <w:pStyle w:val="List"/>
      </w:pPr>
      <w:r w:rsidRPr="00086C2D">
        <w:t xml:space="preserve">properly administer </w:t>
      </w:r>
      <w:proofErr w:type="gramStart"/>
      <w:r w:rsidRPr="00086C2D">
        <w:t>justice;</w:t>
      </w:r>
      <w:proofErr w:type="gramEnd"/>
    </w:p>
    <w:p w14:paraId="6C3B2709" w14:textId="643B7669" w:rsidR="004261A7" w:rsidRPr="00086C2D" w:rsidRDefault="004261A7" w:rsidP="004261A7">
      <w:pPr>
        <w:pStyle w:val="List"/>
      </w:pPr>
      <w:r w:rsidRPr="00086C2D">
        <w:t xml:space="preserve">protect the privacy of individuals (internal and external to the QPS) through compliance with </w:t>
      </w:r>
      <w:r w:rsidR="00DE6F07" w:rsidRPr="00086C2D">
        <w:t xml:space="preserve">legislative requirements including </w:t>
      </w:r>
      <w:r w:rsidRPr="00086C2D">
        <w:t xml:space="preserve">the </w:t>
      </w:r>
      <w:r w:rsidRPr="00086C2D">
        <w:rPr>
          <w:i/>
        </w:rPr>
        <w:t xml:space="preserve">Information Privacy Act </w:t>
      </w:r>
      <w:proofErr w:type="gramStart"/>
      <w:r w:rsidRPr="00086C2D">
        <w:rPr>
          <w:i/>
        </w:rPr>
        <w:t>2009</w:t>
      </w:r>
      <w:r w:rsidRPr="00086C2D">
        <w:t>;</w:t>
      </w:r>
      <w:proofErr w:type="gramEnd"/>
      <w:r w:rsidRPr="00086C2D">
        <w:t xml:space="preserve"> </w:t>
      </w:r>
    </w:p>
    <w:p w14:paraId="34556561" w14:textId="77777777" w:rsidR="004261A7" w:rsidRPr="00086C2D" w:rsidRDefault="004261A7" w:rsidP="004261A7">
      <w:pPr>
        <w:pStyle w:val="List"/>
      </w:pPr>
      <w:r w:rsidRPr="00086C2D">
        <w:t xml:space="preserve">comply with statutory provisions when dealing with such </w:t>
      </w:r>
      <w:proofErr w:type="gramStart"/>
      <w:r w:rsidRPr="00086C2D">
        <w:t>requests;</w:t>
      </w:r>
      <w:proofErr w:type="gramEnd"/>
      <w:r w:rsidRPr="00086C2D">
        <w:t xml:space="preserve"> </w:t>
      </w:r>
    </w:p>
    <w:p w14:paraId="4B1EFD4C" w14:textId="77777777" w:rsidR="004261A7" w:rsidRPr="00086C2D" w:rsidRDefault="004261A7" w:rsidP="004261A7">
      <w:pPr>
        <w:pStyle w:val="List"/>
      </w:pPr>
      <w:r w:rsidRPr="00086C2D">
        <w:t>maintain standards regarding the ethical conduct of research; and</w:t>
      </w:r>
    </w:p>
    <w:p w14:paraId="21DB5D38" w14:textId="3C01C34F" w:rsidR="004261A7" w:rsidRPr="00086C2D" w:rsidRDefault="004261A7" w:rsidP="004261A7">
      <w:pPr>
        <w:pStyle w:val="List"/>
      </w:pPr>
      <w:r w:rsidRPr="00086C2D">
        <w:t xml:space="preserve">comply with the obligations of the </w:t>
      </w:r>
      <w:r w:rsidRPr="00086C2D">
        <w:rPr>
          <w:i/>
        </w:rPr>
        <w:t xml:space="preserve">Queensland Human Rights Act 2019. </w:t>
      </w:r>
    </w:p>
    <w:bookmarkEnd w:id="2"/>
    <w:p w14:paraId="4F1CA363" w14:textId="77777777" w:rsidR="00EC4FB3" w:rsidRPr="00086C2D" w:rsidRDefault="00EC4FB3" w:rsidP="00ED5D20">
      <w:pPr>
        <w:pStyle w:val="Heading1"/>
        <w:rPr>
          <w:szCs w:val="28"/>
        </w:rPr>
      </w:pPr>
      <w:r w:rsidRPr="00086C2D">
        <w:rPr>
          <w:szCs w:val="28"/>
        </w:rPr>
        <w:t>Functions</w:t>
      </w:r>
    </w:p>
    <w:p w14:paraId="18B4E695" w14:textId="49419D97" w:rsidR="00EC4FB3" w:rsidRPr="00086C2D" w:rsidRDefault="00EC4FB3" w:rsidP="00CE0139">
      <w:pPr>
        <w:pStyle w:val="BodyText"/>
        <w:rPr>
          <w:b/>
        </w:rPr>
      </w:pPr>
      <w:r w:rsidRPr="00086C2D">
        <w:t xml:space="preserve">The key functions of the QPSRC </w:t>
      </w:r>
      <w:r w:rsidR="00BC3CE9" w:rsidRPr="00086C2D">
        <w:t>are</w:t>
      </w:r>
      <w:r w:rsidRPr="00086C2D">
        <w:t xml:space="preserve"> to:</w:t>
      </w:r>
    </w:p>
    <w:p w14:paraId="110E4351" w14:textId="4198A352" w:rsidR="00486CF1" w:rsidRPr="00086C2D" w:rsidRDefault="004261A7" w:rsidP="00486CF1">
      <w:pPr>
        <w:pStyle w:val="List"/>
      </w:pPr>
      <w:r w:rsidRPr="00086C2D">
        <w:t>a</w:t>
      </w:r>
      <w:r w:rsidR="00486CF1" w:rsidRPr="00086C2D">
        <w:t xml:space="preserve">ct as a central coordination point for </w:t>
      </w:r>
      <w:r w:rsidRPr="00086C2D">
        <w:t>QPS</w:t>
      </w:r>
      <w:r w:rsidR="00486CF1" w:rsidRPr="00086C2D">
        <w:t xml:space="preserve"> research activities</w:t>
      </w:r>
      <w:r w:rsidR="00B742D2" w:rsidRPr="00086C2D">
        <w:t xml:space="preserve"> in accordance with the QPS Research </w:t>
      </w:r>
      <w:proofErr w:type="gramStart"/>
      <w:r w:rsidR="00B742D2" w:rsidRPr="00086C2D">
        <w:t>Policy;</w:t>
      </w:r>
      <w:proofErr w:type="gramEnd"/>
    </w:p>
    <w:p w14:paraId="2BAE97DB" w14:textId="51B24063" w:rsidR="00486CF1" w:rsidRPr="00086C2D" w:rsidRDefault="004261A7" w:rsidP="00486CF1">
      <w:pPr>
        <w:pStyle w:val="List"/>
      </w:pPr>
      <w:r w:rsidRPr="00086C2D">
        <w:t>m</w:t>
      </w:r>
      <w:r w:rsidR="00486CF1" w:rsidRPr="00086C2D">
        <w:t xml:space="preserve">ake determinations on applications to undertake research and evaluation </w:t>
      </w:r>
      <w:proofErr w:type="gramStart"/>
      <w:r w:rsidR="00486CF1" w:rsidRPr="00086C2D">
        <w:t>projects;</w:t>
      </w:r>
      <w:proofErr w:type="gramEnd"/>
    </w:p>
    <w:p w14:paraId="6B392E33" w14:textId="1CDA30FE" w:rsidR="00486CF1" w:rsidRPr="00086C2D" w:rsidRDefault="004261A7" w:rsidP="00086C2D">
      <w:pPr>
        <w:pStyle w:val="List"/>
      </w:pPr>
      <w:r w:rsidRPr="00086C2D">
        <w:t>e</w:t>
      </w:r>
      <w:r w:rsidR="00486CF1" w:rsidRPr="00086C2D">
        <w:t xml:space="preserve">nsure research </w:t>
      </w:r>
      <w:r w:rsidR="003E6DEB" w:rsidRPr="00086C2D">
        <w:t xml:space="preserve">and evaluation </w:t>
      </w:r>
      <w:r w:rsidR="00486CF1" w:rsidRPr="00086C2D">
        <w:t xml:space="preserve">activities are focused </w:t>
      </w:r>
      <w:proofErr w:type="gramStart"/>
      <w:r w:rsidR="00486CF1" w:rsidRPr="00086C2D">
        <w:t>in</w:t>
      </w:r>
      <w:proofErr w:type="gramEnd"/>
      <w:r w:rsidR="00486CF1" w:rsidRPr="00086C2D">
        <w:t xml:space="preserve"> line with </w:t>
      </w:r>
      <w:r w:rsidRPr="00086C2D">
        <w:t>QPS</w:t>
      </w:r>
      <w:r w:rsidR="00486CF1" w:rsidRPr="00086C2D">
        <w:t xml:space="preserve"> direction;</w:t>
      </w:r>
    </w:p>
    <w:p w14:paraId="071998CE" w14:textId="18A7A5ED" w:rsidR="00E06DE9" w:rsidRPr="00086C2D" w:rsidRDefault="004261A7" w:rsidP="00E06DE9">
      <w:pPr>
        <w:pStyle w:val="List"/>
      </w:pPr>
      <w:r w:rsidRPr="00086C2D">
        <w:t>ensure research</w:t>
      </w:r>
      <w:r w:rsidR="003E6DEB" w:rsidRPr="00086C2D">
        <w:t xml:space="preserve"> and evaluation</w:t>
      </w:r>
      <w:r w:rsidRPr="00086C2D">
        <w:t xml:space="preserve"> represents a sound return on QPS investment</w:t>
      </w:r>
      <w:r w:rsidR="00486CF1" w:rsidRPr="00086C2D">
        <w:t>; and</w:t>
      </w:r>
    </w:p>
    <w:p w14:paraId="79823EE6" w14:textId="684E2611" w:rsidR="00486CF1" w:rsidRPr="00086C2D" w:rsidRDefault="004261A7" w:rsidP="00E06DE9">
      <w:pPr>
        <w:pStyle w:val="List"/>
      </w:pPr>
      <w:r w:rsidRPr="00086C2D">
        <w:t>p</w:t>
      </w:r>
      <w:r w:rsidR="00EC4FB3" w:rsidRPr="00086C2D">
        <w:t>romote findings from research</w:t>
      </w:r>
      <w:r w:rsidR="00E80254" w:rsidRPr="00086C2D">
        <w:t xml:space="preserve"> and evaluation</w:t>
      </w:r>
      <w:r w:rsidR="00EC4FB3" w:rsidRPr="00086C2D">
        <w:t>, to inform policy, practice and performance.</w:t>
      </w:r>
    </w:p>
    <w:p w14:paraId="7FEBBD29" w14:textId="77777777" w:rsidR="00EC4FB3" w:rsidRPr="00086C2D" w:rsidRDefault="00EC4FB3" w:rsidP="00ED5D20">
      <w:pPr>
        <w:pStyle w:val="Heading1"/>
        <w:rPr>
          <w:szCs w:val="28"/>
        </w:rPr>
      </w:pPr>
      <w:r w:rsidRPr="00086C2D">
        <w:rPr>
          <w:szCs w:val="28"/>
        </w:rPr>
        <w:t>Secretariat Support</w:t>
      </w:r>
    </w:p>
    <w:p w14:paraId="11C4D884" w14:textId="782AABD9" w:rsidR="00EC4FB3" w:rsidRPr="00086C2D" w:rsidRDefault="00EC4FB3" w:rsidP="00CE0139">
      <w:pPr>
        <w:pStyle w:val="BodyText"/>
      </w:pPr>
      <w:r w:rsidRPr="00086C2D">
        <w:t>The function</w:t>
      </w:r>
      <w:r w:rsidR="0044710F" w:rsidRPr="00086C2D">
        <w:t>s</w:t>
      </w:r>
      <w:r w:rsidRPr="00086C2D">
        <w:t xml:space="preserve"> of the QPSRC are supported by the QPSRC Secretariat. This role is provided through the Research and Evaluation unit, </w:t>
      </w:r>
      <w:proofErr w:type="gramStart"/>
      <w:r w:rsidR="00977EE3" w:rsidRPr="00086C2D">
        <w:t>Policy</w:t>
      </w:r>
      <w:proofErr w:type="gramEnd"/>
      <w:r w:rsidR="00977EE3" w:rsidRPr="00086C2D">
        <w:t xml:space="preserve"> and Performance Division</w:t>
      </w:r>
      <w:r w:rsidRPr="00086C2D">
        <w:t xml:space="preserve">. </w:t>
      </w:r>
    </w:p>
    <w:p w14:paraId="47B2F4ED" w14:textId="5C9D11C7" w:rsidR="00EC4FB3" w:rsidRPr="00086C2D" w:rsidRDefault="00EC4FB3" w:rsidP="00CE0139">
      <w:pPr>
        <w:pStyle w:val="BodyText"/>
      </w:pPr>
      <w:r w:rsidRPr="00086C2D">
        <w:t xml:space="preserve">The key functions of the QPSRC Secretariat </w:t>
      </w:r>
      <w:r w:rsidR="00B742D2" w:rsidRPr="00086C2D">
        <w:t>are</w:t>
      </w:r>
      <w:r w:rsidRPr="00086C2D">
        <w:t xml:space="preserve"> to: </w:t>
      </w:r>
    </w:p>
    <w:p w14:paraId="376B120C" w14:textId="5443D285" w:rsidR="00EC4FB3" w:rsidRPr="00086C2D" w:rsidRDefault="00F6138F" w:rsidP="00887045">
      <w:pPr>
        <w:pStyle w:val="List"/>
      </w:pPr>
      <w:r w:rsidRPr="00086C2D">
        <w:t>r</w:t>
      </w:r>
      <w:r w:rsidR="00EC4FB3" w:rsidRPr="00086C2D">
        <w:t xml:space="preserve">eview applications prior to tabling, seeking clarification from the applicant where </w:t>
      </w:r>
      <w:proofErr w:type="gramStart"/>
      <w:r w:rsidR="00EC4FB3" w:rsidRPr="00086C2D">
        <w:t>necessary;</w:t>
      </w:r>
      <w:proofErr w:type="gramEnd"/>
      <w:r w:rsidR="00EC4FB3" w:rsidRPr="00086C2D">
        <w:t xml:space="preserve"> </w:t>
      </w:r>
    </w:p>
    <w:p w14:paraId="21A02A0E" w14:textId="25D0EE85" w:rsidR="00EC4FB3" w:rsidRPr="00086C2D" w:rsidRDefault="00F6138F" w:rsidP="00887045">
      <w:pPr>
        <w:pStyle w:val="List"/>
      </w:pPr>
      <w:r w:rsidRPr="00086C2D">
        <w:t>u</w:t>
      </w:r>
      <w:r w:rsidR="00EC4FB3" w:rsidRPr="00086C2D">
        <w:t xml:space="preserve">ndertake a process of internal consultation, prior to tabling </w:t>
      </w:r>
      <w:proofErr w:type="gramStart"/>
      <w:r w:rsidR="00EC4FB3" w:rsidRPr="00086C2D">
        <w:t>application</w:t>
      </w:r>
      <w:r w:rsidR="0044710F" w:rsidRPr="00086C2D">
        <w:t>s</w:t>
      </w:r>
      <w:r w:rsidR="00471BE8" w:rsidRPr="00086C2D">
        <w:t>;</w:t>
      </w:r>
      <w:proofErr w:type="gramEnd"/>
    </w:p>
    <w:p w14:paraId="431D19B9" w14:textId="68C63A11" w:rsidR="0044710F" w:rsidRPr="00086C2D" w:rsidRDefault="004F714B" w:rsidP="00887045">
      <w:pPr>
        <w:pStyle w:val="List"/>
      </w:pPr>
      <w:r w:rsidRPr="00086C2D">
        <w:t>provide</w:t>
      </w:r>
      <w:r w:rsidR="00EC4FB3" w:rsidRPr="00086C2D">
        <w:t xml:space="preserve"> advice to senior departmental executives on QPS participation in research and evaluation </w:t>
      </w:r>
      <w:proofErr w:type="gramStart"/>
      <w:r w:rsidR="00EC4FB3" w:rsidRPr="00086C2D">
        <w:t>projects</w:t>
      </w:r>
      <w:r w:rsidR="00471BE8" w:rsidRPr="00086C2D">
        <w:t>;</w:t>
      </w:r>
      <w:proofErr w:type="gramEnd"/>
      <w:r w:rsidR="00471BE8" w:rsidRPr="00086C2D">
        <w:t xml:space="preserve"> </w:t>
      </w:r>
    </w:p>
    <w:p w14:paraId="3BA9FC78" w14:textId="3F51ED90" w:rsidR="00471BE8" w:rsidRPr="00086C2D" w:rsidRDefault="00F6138F" w:rsidP="00887045">
      <w:pPr>
        <w:pStyle w:val="List"/>
      </w:pPr>
      <w:r w:rsidRPr="00086C2D">
        <w:t>m</w:t>
      </w:r>
      <w:r w:rsidR="0044710F" w:rsidRPr="00086C2D">
        <w:t xml:space="preserve">onitor the progress of conditionally approved research and evaluation projects; </w:t>
      </w:r>
      <w:r w:rsidR="00471BE8" w:rsidRPr="00086C2D">
        <w:t>and</w:t>
      </w:r>
    </w:p>
    <w:p w14:paraId="03475A78" w14:textId="4513704C" w:rsidR="00471BE8" w:rsidRPr="00086C2D" w:rsidRDefault="00F6138F" w:rsidP="00887045">
      <w:pPr>
        <w:pStyle w:val="List"/>
      </w:pPr>
      <w:r w:rsidRPr="00086C2D">
        <w:lastRenderedPageBreak/>
        <w:t>c</w:t>
      </w:r>
      <w:r w:rsidR="00471BE8" w:rsidRPr="00086C2D">
        <w:t>ollate</w:t>
      </w:r>
      <w:r w:rsidR="004D2F8F" w:rsidRPr="00086C2D">
        <w:t>, showcase</w:t>
      </w:r>
      <w:r w:rsidR="00471BE8" w:rsidRPr="00086C2D">
        <w:t xml:space="preserve"> and disseminate significant findings from research</w:t>
      </w:r>
      <w:r w:rsidR="0044710F" w:rsidRPr="00086C2D">
        <w:t xml:space="preserve"> and evaluation projects</w:t>
      </w:r>
      <w:r w:rsidR="00471BE8" w:rsidRPr="00086C2D">
        <w:t>, to help inform policy, practice and performance.</w:t>
      </w:r>
    </w:p>
    <w:p w14:paraId="338D53F8" w14:textId="77777777" w:rsidR="00EC4FB3" w:rsidRPr="00086C2D" w:rsidRDefault="00EC4FB3" w:rsidP="00ED5D20">
      <w:pPr>
        <w:pStyle w:val="Heading1"/>
        <w:rPr>
          <w:szCs w:val="28"/>
        </w:rPr>
      </w:pPr>
      <w:r w:rsidRPr="00086C2D">
        <w:rPr>
          <w:szCs w:val="28"/>
        </w:rPr>
        <w:t>Membership</w:t>
      </w:r>
    </w:p>
    <w:p w14:paraId="4FDB3114" w14:textId="3C2B15BD" w:rsidR="00EC4FB3" w:rsidRPr="00086C2D" w:rsidRDefault="00EC4FB3" w:rsidP="00CE0139">
      <w:pPr>
        <w:pStyle w:val="BodyText"/>
        <w:rPr>
          <w:b/>
        </w:rPr>
      </w:pPr>
      <w:r w:rsidRPr="00086C2D">
        <w:t>QPSRC membership consist</w:t>
      </w:r>
      <w:r w:rsidR="0044710F" w:rsidRPr="00086C2D">
        <w:t>s</w:t>
      </w:r>
      <w:r w:rsidRPr="00086C2D">
        <w:t xml:space="preserve"> of core and rotational members.</w:t>
      </w:r>
    </w:p>
    <w:p w14:paraId="26F699E5" w14:textId="77777777" w:rsidR="00EC4FB3" w:rsidRPr="00086C2D" w:rsidRDefault="00EC4FB3" w:rsidP="00A666EA">
      <w:pPr>
        <w:pStyle w:val="Heading2"/>
      </w:pPr>
      <w:r w:rsidRPr="00086C2D">
        <w:t>Core members</w:t>
      </w:r>
    </w:p>
    <w:p w14:paraId="5D7AA08F" w14:textId="2DF43723" w:rsidR="00EC4FB3" w:rsidRPr="00086C2D" w:rsidRDefault="00853884" w:rsidP="00977EE3">
      <w:pPr>
        <w:pStyle w:val="List"/>
      </w:pPr>
      <w:bookmarkStart w:id="3" w:name="_Hlk138345397"/>
      <w:r w:rsidRPr="00086C2D">
        <w:t>Executive Director, Policy and Performance Division (Chair)</w:t>
      </w:r>
    </w:p>
    <w:p w14:paraId="5D2D5F5F" w14:textId="77777777" w:rsidR="00853884" w:rsidRPr="00086C2D" w:rsidRDefault="004A3BC4" w:rsidP="00887045">
      <w:pPr>
        <w:pStyle w:val="List"/>
      </w:pPr>
      <w:r w:rsidRPr="00086C2D">
        <w:t>Assistant Commissioner</w:t>
      </w:r>
      <w:r w:rsidR="00EC4FB3" w:rsidRPr="00086C2D">
        <w:t xml:space="preserve">, Ethical Standards </w:t>
      </w:r>
      <w:proofErr w:type="gramStart"/>
      <w:r w:rsidR="00EC4FB3" w:rsidRPr="00086C2D">
        <w:t>Command;</w:t>
      </w:r>
      <w:proofErr w:type="gramEnd"/>
      <w:r w:rsidR="00EC4FB3" w:rsidRPr="00086C2D">
        <w:t xml:space="preserve"> </w:t>
      </w:r>
    </w:p>
    <w:p w14:paraId="446E7AE5" w14:textId="34264CD8" w:rsidR="00EC4FB3" w:rsidRPr="00086C2D" w:rsidRDefault="00F6138F" w:rsidP="00887045">
      <w:pPr>
        <w:pStyle w:val="List"/>
      </w:pPr>
      <w:r w:rsidRPr="00086C2D">
        <w:t xml:space="preserve">Executive Director, </w:t>
      </w:r>
      <w:r w:rsidR="00853884" w:rsidRPr="00086C2D">
        <w:t>Chief Risk Office</w:t>
      </w:r>
      <w:r w:rsidRPr="00086C2D">
        <w:t>, Specialist Operations</w:t>
      </w:r>
      <w:r w:rsidR="00853884" w:rsidRPr="00086C2D">
        <w:t xml:space="preserve">; </w:t>
      </w:r>
      <w:r w:rsidR="00EC4FB3" w:rsidRPr="00086C2D">
        <w:t>and</w:t>
      </w:r>
    </w:p>
    <w:p w14:paraId="108B4BEB" w14:textId="0A292590" w:rsidR="00AC0A87" w:rsidRPr="00086C2D" w:rsidRDefault="00EC4FB3" w:rsidP="00AC0A87">
      <w:pPr>
        <w:pStyle w:val="List"/>
      </w:pPr>
      <w:r w:rsidRPr="00086C2D">
        <w:t xml:space="preserve">Director, </w:t>
      </w:r>
      <w:r w:rsidR="0044710F" w:rsidRPr="00086C2D">
        <w:t>Research and Analytics</w:t>
      </w:r>
      <w:r w:rsidRPr="00086C2D">
        <w:t>,</w:t>
      </w:r>
      <w:r w:rsidR="00261657" w:rsidRPr="00086C2D">
        <w:t xml:space="preserve"> Policy and Performance Division</w:t>
      </w:r>
      <w:r w:rsidRPr="00086C2D">
        <w:t xml:space="preserve">. </w:t>
      </w:r>
    </w:p>
    <w:bookmarkEnd w:id="3"/>
    <w:p w14:paraId="4CFDA698" w14:textId="77777777" w:rsidR="00EC4FB3" w:rsidRPr="00086C2D" w:rsidRDefault="00EC4FB3" w:rsidP="00A666EA">
      <w:pPr>
        <w:pStyle w:val="Heading2"/>
      </w:pPr>
      <w:r w:rsidRPr="00086C2D">
        <w:t>Rotational members</w:t>
      </w:r>
    </w:p>
    <w:p w14:paraId="39ECF640" w14:textId="369E28EE" w:rsidR="00EC4FB3" w:rsidRPr="00086C2D" w:rsidRDefault="00EC4FB3" w:rsidP="00EC4FB3">
      <w:pPr>
        <w:tabs>
          <w:tab w:val="left" w:pos="492"/>
        </w:tabs>
        <w:spacing w:after="120" w:line="240" w:lineRule="auto"/>
        <w:jc w:val="both"/>
        <w:rPr>
          <w:rFonts w:ascii="Arial" w:hAnsi="Arial" w:cs="Arial"/>
          <w:szCs w:val="24"/>
        </w:rPr>
      </w:pPr>
      <w:r w:rsidRPr="00086C2D">
        <w:rPr>
          <w:rFonts w:ascii="Arial" w:hAnsi="Arial" w:cs="Arial"/>
          <w:szCs w:val="24"/>
        </w:rPr>
        <w:t xml:space="preserve">Rotational members consist of senior </w:t>
      </w:r>
      <w:r w:rsidRPr="00086C2D">
        <w:rPr>
          <w:rStyle w:val="BodyTextChar"/>
        </w:rPr>
        <w:t xml:space="preserve">officers </w:t>
      </w:r>
      <w:r w:rsidR="00AC0A87" w:rsidRPr="00086C2D">
        <w:rPr>
          <w:rStyle w:val="BodyTextChar"/>
        </w:rPr>
        <w:t xml:space="preserve">from across the </w:t>
      </w:r>
      <w:r w:rsidR="004261A7" w:rsidRPr="00086C2D">
        <w:rPr>
          <w:rStyle w:val="BodyTextChar"/>
        </w:rPr>
        <w:t>QPS</w:t>
      </w:r>
      <w:r w:rsidR="00BA3CC3" w:rsidRPr="00086C2D">
        <w:rPr>
          <w:rStyle w:val="BodyTextChar"/>
        </w:rPr>
        <w:t xml:space="preserve"> and invited subject matter experts from universities, other government departments, or non-government organisations. </w:t>
      </w:r>
      <w:r w:rsidRPr="00086C2D">
        <w:rPr>
          <w:rStyle w:val="BodyTextChar"/>
        </w:rPr>
        <w:t>These</w:t>
      </w:r>
      <w:r w:rsidRPr="00086C2D">
        <w:rPr>
          <w:rFonts w:ascii="Arial" w:hAnsi="Arial" w:cs="Arial"/>
          <w:szCs w:val="24"/>
        </w:rPr>
        <w:t xml:space="preserve"> members are reviewed </w:t>
      </w:r>
      <w:r w:rsidR="00BA3CC3" w:rsidRPr="00086C2D">
        <w:rPr>
          <w:rFonts w:ascii="Arial" w:hAnsi="Arial" w:cs="Arial"/>
          <w:szCs w:val="24"/>
        </w:rPr>
        <w:t>as required</w:t>
      </w:r>
      <w:r w:rsidRPr="00086C2D">
        <w:rPr>
          <w:rFonts w:ascii="Arial" w:hAnsi="Arial" w:cs="Arial"/>
          <w:szCs w:val="24"/>
        </w:rPr>
        <w:t xml:space="preserve"> and are appointed in accordance with their portfolio. </w:t>
      </w:r>
    </w:p>
    <w:p w14:paraId="52AFD7B4" w14:textId="2CABFAE7" w:rsidR="00EC4FB3" w:rsidRPr="00086C2D" w:rsidRDefault="00EC4FB3" w:rsidP="00ED5D20">
      <w:pPr>
        <w:pStyle w:val="Heading1"/>
        <w:rPr>
          <w:szCs w:val="28"/>
        </w:rPr>
      </w:pPr>
      <w:r w:rsidRPr="00086C2D">
        <w:rPr>
          <w:szCs w:val="28"/>
        </w:rPr>
        <w:t>Meeting attendees</w:t>
      </w:r>
    </w:p>
    <w:p w14:paraId="3EF30828" w14:textId="40D8B0C8" w:rsidR="00EC4FB3" w:rsidRPr="00086C2D" w:rsidRDefault="00EC4FB3" w:rsidP="00CE0139">
      <w:pPr>
        <w:pStyle w:val="BodyText"/>
      </w:pPr>
      <w:r w:rsidRPr="00086C2D">
        <w:t xml:space="preserve">Although not part of the </w:t>
      </w:r>
      <w:r w:rsidR="00BA3CC3" w:rsidRPr="00086C2D">
        <w:t>QPSRC</w:t>
      </w:r>
      <w:r w:rsidRPr="00086C2D">
        <w:t xml:space="preserve"> membership, the Manager of the Research and Evaluation unit, and a Research and Evaluation unit delegate, represent the Secretariat at meetings to assist the Chair. </w:t>
      </w:r>
    </w:p>
    <w:p w14:paraId="0C8CB25D" w14:textId="1DB56BB1" w:rsidR="00EC4FB3" w:rsidRPr="00086C2D" w:rsidRDefault="00EC4FB3" w:rsidP="00CE0139">
      <w:pPr>
        <w:pStyle w:val="BodyText"/>
        <w:rPr>
          <w:b/>
        </w:rPr>
      </w:pPr>
      <w:r w:rsidRPr="00086C2D">
        <w:t xml:space="preserve">Additionally, if required, the </w:t>
      </w:r>
      <w:r w:rsidR="00BA3CC3" w:rsidRPr="00086C2D">
        <w:t>QPSRC</w:t>
      </w:r>
      <w:r w:rsidRPr="00086C2D">
        <w:t xml:space="preserve"> may invite observers and/or people with relevant specialist knowledge to meetings to assist with assessing specific applications. This decision is</w:t>
      </w:r>
      <w:r w:rsidR="00C51A97" w:rsidRPr="00086C2D">
        <w:t xml:space="preserve"> made</w:t>
      </w:r>
      <w:r w:rsidRPr="00086C2D">
        <w:t xml:space="preserve"> </w:t>
      </w:r>
      <w:r w:rsidR="00DE5D9C" w:rsidRPr="00086C2D">
        <w:t>at the discretion of the Chair</w:t>
      </w:r>
      <w:r w:rsidR="00C51A97" w:rsidRPr="00086C2D">
        <w:t xml:space="preserve"> of the QPSRC</w:t>
      </w:r>
      <w:r w:rsidR="00DE5D9C" w:rsidRPr="00086C2D">
        <w:t xml:space="preserve">. </w:t>
      </w:r>
    </w:p>
    <w:p w14:paraId="0CA3465F" w14:textId="77777777" w:rsidR="00EC4FB3" w:rsidRPr="00086C2D" w:rsidRDefault="00EC4FB3" w:rsidP="00ED5D20">
      <w:pPr>
        <w:pStyle w:val="Heading1"/>
        <w:rPr>
          <w:szCs w:val="28"/>
        </w:rPr>
      </w:pPr>
      <w:r w:rsidRPr="00086C2D">
        <w:rPr>
          <w:szCs w:val="28"/>
        </w:rPr>
        <w:t>Meetings</w:t>
      </w:r>
    </w:p>
    <w:p w14:paraId="6ECF60E8" w14:textId="239AE2E8" w:rsidR="00EC4FB3" w:rsidRPr="00086C2D" w:rsidRDefault="00EC4FB3" w:rsidP="00CE0139">
      <w:pPr>
        <w:pStyle w:val="BodyText"/>
      </w:pPr>
      <w:r w:rsidRPr="00086C2D">
        <w:t>Meetings will</w:t>
      </w:r>
      <w:r w:rsidR="003D6186" w:rsidRPr="00086C2D">
        <w:t xml:space="preserve"> be </w:t>
      </w:r>
      <w:bookmarkStart w:id="4" w:name="_Hlk40188106"/>
      <w:r w:rsidR="003D6186" w:rsidRPr="00086C2D">
        <w:t>scheduled to</w:t>
      </w:r>
      <w:r w:rsidRPr="00086C2D">
        <w:t xml:space="preserve"> occur on a quarterly basis</w:t>
      </w:r>
      <w:bookmarkEnd w:id="4"/>
      <w:r w:rsidRPr="00086C2D">
        <w:t xml:space="preserve">. </w:t>
      </w:r>
      <w:r w:rsidR="00BA3CC3" w:rsidRPr="00086C2D">
        <w:t>QPSRC</w:t>
      </w:r>
      <w:r w:rsidR="0033783E" w:rsidRPr="00086C2D">
        <w:t xml:space="preserve"> meeting</w:t>
      </w:r>
      <w:r w:rsidR="00AC0A87" w:rsidRPr="00086C2D">
        <w:t>s</w:t>
      </w:r>
      <w:r w:rsidR="0033783E" w:rsidRPr="00086C2D">
        <w:t xml:space="preserve"> may be held face-to-face, via telephone, </w:t>
      </w:r>
      <w:r w:rsidR="005F337C" w:rsidRPr="00086C2D">
        <w:t>videoconference,</w:t>
      </w:r>
      <w:r w:rsidR="0033783E" w:rsidRPr="00086C2D">
        <w:t xml:space="preserve"> or other electronic means. The Secretariat will disseminate the meeting agenda and papers prior to the meeting</w:t>
      </w:r>
      <w:r w:rsidR="000E24E8" w:rsidRPr="00086C2D">
        <w:t xml:space="preserve"> and</w:t>
      </w:r>
      <w:r w:rsidR="0033783E" w:rsidRPr="00086C2D">
        <w:t xml:space="preserve"> </w:t>
      </w:r>
      <w:r w:rsidR="00BA3CC3" w:rsidRPr="00086C2D">
        <w:t>QPSRC</w:t>
      </w:r>
      <w:r w:rsidR="0033783E" w:rsidRPr="00086C2D">
        <w:t xml:space="preserve"> members will be required to </w:t>
      </w:r>
      <w:r w:rsidR="000E24E8" w:rsidRPr="00086C2D">
        <w:t>be sufficiently prepared for each meeting.</w:t>
      </w:r>
      <w:r w:rsidR="0033783E" w:rsidRPr="00086C2D">
        <w:t xml:space="preserve"> </w:t>
      </w:r>
    </w:p>
    <w:p w14:paraId="24C59F8A" w14:textId="3C1E61C4" w:rsidR="00EC4FB3" w:rsidRPr="00086C2D" w:rsidRDefault="00DC4376" w:rsidP="00CE0139">
      <w:pPr>
        <w:pStyle w:val="BodyText"/>
      </w:pPr>
      <w:r w:rsidRPr="00086C2D">
        <w:t xml:space="preserve">Out-of-session applications are only considered for exceptional circumstances where immediate urgency is clearly stated; however, this decision is at the discretion of the QPSRC Chair </w:t>
      </w:r>
      <w:r w:rsidR="00EC4FB3" w:rsidRPr="00086C2D">
        <w:t xml:space="preserve">with advice from the QPSRC Secretariat. </w:t>
      </w:r>
      <w:r w:rsidR="00BA3CC3" w:rsidRPr="00086C2D">
        <w:t>Exceptional</w:t>
      </w:r>
      <w:r w:rsidR="00EC4FB3" w:rsidRPr="00086C2D">
        <w:t xml:space="preserve"> </w:t>
      </w:r>
      <w:r w:rsidR="00BC3CE9" w:rsidRPr="00086C2D">
        <w:t xml:space="preserve">circumstances may </w:t>
      </w:r>
      <w:r w:rsidR="00EC4FB3" w:rsidRPr="00086C2D">
        <w:t xml:space="preserve">include, for example, government mandated research or contracted research by the QPS, with deadlines not suitable to be carried over to the next meeting. The determination made by the Chair is final, with applications deemed not suitable for out-of-session consideration carried over to the next scheduled QPSRC meeting. </w:t>
      </w:r>
    </w:p>
    <w:p w14:paraId="4C864354" w14:textId="072835A8" w:rsidR="00EC4FB3" w:rsidRPr="00086C2D" w:rsidRDefault="00EC4FB3" w:rsidP="00CE0139">
      <w:pPr>
        <w:pStyle w:val="BodyText"/>
      </w:pPr>
      <w:r w:rsidRPr="00086C2D">
        <w:rPr>
          <w:spacing w:val="-7"/>
        </w:rPr>
        <w:t xml:space="preserve">A </w:t>
      </w:r>
      <w:r w:rsidRPr="00086C2D">
        <w:t>quorum</w:t>
      </w:r>
      <w:r w:rsidRPr="00086C2D">
        <w:rPr>
          <w:spacing w:val="-5"/>
        </w:rPr>
        <w:t xml:space="preserve"> for the QPSRC meeting </w:t>
      </w:r>
      <w:r w:rsidRPr="00086C2D">
        <w:t>consists</w:t>
      </w:r>
      <w:r w:rsidRPr="00086C2D">
        <w:rPr>
          <w:spacing w:val="-6"/>
        </w:rPr>
        <w:t xml:space="preserve"> </w:t>
      </w:r>
      <w:r w:rsidRPr="00086C2D">
        <w:t>of</w:t>
      </w:r>
      <w:r w:rsidRPr="00086C2D">
        <w:rPr>
          <w:spacing w:val="-5"/>
        </w:rPr>
        <w:t xml:space="preserve"> </w:t>
      </w:r>
      <w:r w:rsidRPr="00086C2D">
        <w:t>the</w:t>
      </w:r>
      <w:r w:rsidRPr="00086C2D">
        <w:rPr>
          <w:spacing w:val="-6"/>
        </w:rPr>
        <w:t xml:space="preserve"> </w:t>
      </w:r>
      <w:r w:rsidRPr="00086C2D">
        <w:t>Chair.</w:t>
      </w:r>
      <w:r w:rsidRPr="00086C2D">
        <w:rPr>
          <w:spacing w:val="-7"/>
        </w:rPr>
        <w:t xml:space="preserve"> </w:t>
      </w:r>
      <w:r w:rsidRPr="00086C2D">
        <w:t>The</w:t>
      </w:r>
      <w:r w:rsidRPr="00086C2D">
        <w:rPr>
          <w:spacing w:val="-6"/>
        </w:rPr>
        <w:t xml:space="preserve"> </w:t>
      </w:r>
      <w:r w:rsidRPr="00086C2D">
        <w:t>Chair</w:t>
      </w:r>
      <w:r w:rsidRPr="00086C2D">
        <w:rPr>
          <w:spacing w:val="-7"/>
        </w:rPr>
        <w:t xml:space="preserve"> </w:t>
      </w:r>
      <w:r w:rsidRPr="00086C2D">
        <w:t>may</w:t>
      </w:r>
      <w:r w:rsidRPr="00086C2D">
        <w:rPr>
          <w:spacing w:val="-6"/>
        </w:rPr>
        <w:t xml:space="preserve"> </w:t>
      </w:r>
      <w:r w:rsidRPr="00086C2D">
        <w:t>nominate</w:t>
      </w:r>
      <w:r w:rsidRPr="00086C2D">
        <w:rPr>
          <w:spacing w:val="-6"/>
        </w:rPr>
        <w:t xml:space="preserve"> </w:t>
      </w:r>
      <w:r w:rsidRPr="00086C2D">
        <w:t>another</w:t>
      </w:r>
      <w:r w:rsidRPr="00086C2D">
        <w:rPr>
          <w:spacing w:val="-5"/>
        </w:rPr>
        <w:t xml:space="preserve"> </w:t>
      </w:r>
      <w:r w:rsidRPr="00086C2D">
        <w:t>member</w:t>
      </w:r>
      <w:r w:rsidRPr="00086C2D">
        <w:rPr>
          <w:spacing w:val="-7"/>
        </w:rPr>
        <w:t xml:space="preserve"> </w:t>
      </w:r>
      <w:r w:rsidRPr="00086C2D">
        <w:t>of</w:t>
      </w:r>
      <w:r w:rsidRPr="00086C2D">
        <w:rPr>
          <w:spacing w:val="-3"/>
        </w:rPr>
        <w:t xml:space="preserve"> </w:t>
      </w:r>
      <w:r w:rsidRPr="00086C2D">
        <w:t>the</w:t>
      </w:r>
      <w:r w:rsidRPr="00086C2D">
        <w:rPr>
          <w:spacing w:val="-6"/>
        </w:rPr>
        <w:t xml:space="preserve"> </w:t>
      </w:r>
      <w:r w:rsidR="00BA3CC3" w:rsidRPr="00086C2D">
        <w:t>QPSRC</w:t>
      </w:r>
      <w:r w:rsidRPr="00086C2D">
        <w:rPr>
          <w:spacing w:val="-6"/>
        </w:rPr>
        <w:t xml:space="preserve"> </w:t>
      </w:r>
      <w:r w:rsidRPr="00086C2D">
        <w:t>to</w:t>
      </w:r>
      <w:r w:rsidRPr="00086C2D">
        <w:rPr>
          <w:spacing w:val="-6"/>
        </w:rPr>
        <w:t xml:space="preserve"> </w:t>
      </w:r>
      <w:r w:rsidRPr="00086C2D">
        <w:t>act</w:t>
      </w:r>
      <w:r w:rsidRPr="00086C2D">
        <w:rPr>
          <w:spacing w:val="-5"/>
        </w:rPr>
        <w:t xml:space="preserve"> </w:t>
      </w:r>
      <w:r w:rsidRPr="00086C2D">
        <w:t xml:space="preserve">as Chair. Where </w:t>
      </w:r>
      <w:r w:rsidR="00631A09" w:rsidRPr="00086C2D">
        <w:t>a member is</w:t>
      </w:r>
      <w:r w:rsidRPr="00086C2D">
        <w:t xml:space="preserve"> unable to attend a meeting, with the concurrence of the Chair, a member can be nominated as a representative. However, </w:t>
      </w:r>
      <w:r w:rsidR="004A3BC4" w:rsidRPr="00086C2D">
        <w:t>a member cannot represent more than one of the design</w:t>
      </w:r>
      <w:r w:rsidR="00074856" w:rsidRPr="00086C2D">
        <w:t>at</w:t>
      </w:r>
      <w:r w:rsidR="004A3BC4" w:rsidRPr="00086C2D">
        <w:t xml:space="preserve">ed member positions in the </w:t>
      </w:r>
      <w:r w:rsidR="00BA3CC3" w:rsidRPr="00086C2D">
        <w:t>QPSRC</w:t>
      </w:r>
      <w:r w:rsidR="004A3BC4" w:rsidRPr="00086C2D">
        <w:t xml:space="preserve">. </w:t>
      </w:r>
    </w:p>
    <w:p w14:paraId="7A6AC993" w14:textId="77777777" w:rsidR="005E3F03" w:rsidRPr="00086C2D" w:rsidRDefault="005E3F03" w:rsidP="00ED5D20">
      <w:pPr>
        <w:pStyle w:val="Heading1"/>
        <w:rPr>
          <w:szCs w:val="28"/>
        </w:rPr>
      </w:pPr>
      <w:r w:rsidRPr="00086C2D">
        <w:rPr>
          <w:szCs w:val="28"/>
        </w:rPr>
        <w:t>Intellectual Property Considerations</w:t>
      </w:r>
    </w:p>
    <w:p w14:paraId="6DC40AA7" w14:textId="5F0D06FC" w:rsidR="005E3F03" w:rsidRPr="00086C2D" w:rsidRDefault="005E3F03" w:rsidP="00CE0139">
      <w:pPr>
        <w:pStyle w:val="BodyText"/>
      </w:pPr>
      <w:r w:rsidRPr="00086C2D">
        <w:t xml:space="preserve">It is important for the </w:t>
      </w:r>
      <w:r w:rsidR="00BA3CC3" w:rsidRPr="00086C2D">
        <w:t>QPSRC</w:t>
      </w:r>
      <w:r w:rsidRPr="00086C2D">
        <w:t xml:space="preserve"> to consider Intellectual Property (IP) factors from the outset when assessing whether to approve applications for research. This includes determining an appropriate ownership position of IP assets that stem from research involving the </w:t>
      </w:r>
      <w:r w:rsidR="004261A7" w:rsidRPr="00086C2D">
        <w:t>QPS</w:t>
      </w:r>
      <w:r w:rsidRPr="00086C2D">
        <w:t>.</w:t>
      </w:r>
    </w:p>
    <w:p w14:paraId="14D9AB6C" w14:textId="3C3A3B2F" w:rsidR="005E3F03" w:rsidRPr="00086C2D" w:rsidRDefault="005E3F03" w:rsidP="00050DD7">
      <w:pPr>
        <w:spacing w:before="120" w:after="120" w:line="240" w:lineRule="auto"/>
        <w:jc w:val="both"/>
        <w:rPr>
          <w:rFonts w:ascii="Arial" w:hAnsi="Arial" w:cs="Arial"/>
          <w:szCs w:val="24"/>
        </w:rPr>
      </w:pPr>
      <w:r w:rsidRPr="00086C2D">
        <w:rPr>
          <w:rFonts w:ascii="Arial" w:hAnsi="Arial" w:cs="Arial"/>
          <w:szCs w:val="24"/>
        </w:rPr>
        <w:t xml:space="preserve">As part of the </w:t>
      </w:r>
      <w:r w:rsidR="00BA3CC3" w:rsidRPr="00086C2D">
        <w:rPr>
          <w:rFonts w:ascii="Arial" w:hAnsi="Arial" w:cs="Arial"/>
          <w:szCs w:val="24"/>
        </w:rPr>
        <w:t>QPSRC</w:t>
      </w:r>
      <w:r w:rsidRPr="00086C2D">
        <w:rPr>
          <w:rFonts w:ascii="Arial" w:hAnsi="Arial" w:cs="Arial"/>
          <w:szCs w:val="24"/>
        </w:rPr>
        <w:t>’s initial assessment for the approval of research projects, additional factors should be considered such as:</w:t>
      </w:r>
    </w:p>
    <w:p w14:paraId="7D92005C" w14:textId="7014FBF1" w:rsidR="005E3F03" w:rsidRPr="00086C2D" w:rsidRDefault="00F6138F" w:rsidP="00887045">
      <w:pPr>
        <w:pStyle w:val="List"/>
      </w:pPr>
      <w:r w:rsidRPr="00086C2D">
        <w:t>a</w:t>
      </w:r>
      <w:r w:rsidR="005E3F03" w:rsidRPr="00086C2D">
        <w:t xml:space="preserve">ny background or third-party IP intended for use in the research </w:t>
      </w:r>
      <w:proofErr w:type="gramStart"/>
      <w:r w:rsidR="005E3F03" w:rsidRPr="00086C2D">
        <w:t>project;</w:t>
      </w:r>
      <w:proofErr w:type="gramEnd"/>
    </w:p>
    <w:p w14:paraId="6524B71D" w14:textId="7012470E" w:rsidR="005E3F03" w:rsidRPr="00086C2D" w:rsidRDefault="00F6138F" w:rsidP="00887045">
      <w:pPr>
        <w:pStyle w:val="List"/>
      </w:pPr>
      <w:r w:rsidRPr="00086C2D">
        <w:t>c</w:t>
      </w:r>
      <w:r w:rsidR="005E3F03" w:rsidRPr="00086C2D">
        <w:t xml:space="preserve">onfidentiality and sensitivity of </w:t>
      </w:r>
      <w:proofErr w:type="gramStart"/>
      <w:r w:rsidR="005E3F03" w:rsidRPr="00086C2D">
        <w:t>material;</w:t>
      </w:r>
      <w:proofErr w:type="gramEnd"/>
    </w:p>
    <w:p w14:paraId="4C91D0BD" w14:textId="083CE3B1" w:rsidR="005E3F03" w:rsidRPr="00086C2D" w:rsidRDefault="00F6138F" w:rsidP="00887045">
      <w:pPr>
        <w:pStyle w:val="List"/>
      </w:pPr>
      <w:r w:rsidRPr="00086C2D">
        <w:t>p</w:t>
      </w:r>
      <w:r w:rsidR="005E3F03" w:rsidRPr="00086C2D">
        <w:t xml:space="preserve">otential value and opportunity for commercialisation of IP </w:t>
      </w:r>
      <w:proofErr w:type="gramStart"/>
      <w:r w:rsidR="005E3F03" w:rsidRPr="00086C2D">
        <w:t>assets;</w:t>
      </w:r>
      <w:proofErr w:type="gramEnd"/>
    </w:p>
    <w:p w14:paraId="1101D082" w14:textId="22F7BDAB" w:rsidR="005E3F03" w:rsidRPr="00086C2D" w:rsidRDefault="00F6138F" w:rsidP="00887045">
      <w:pPr>
        <w:pStyle w:val="List"/>
      </w:pPr>
      <w:r w:rsidRPr="00086C2D">
        <w:t>w</w:t>
      </w:r>
      <w:r w:rsidR="005E3F03" w:rsidRPr="00086C2D">
        <w:t>hether it is in the interest of the public for the QPS to retain ownership of IP; and</w:t>
      </w:r>
    </w:p>
    <w:p w14:paraId="0DA8C9A5" w14:textId="1533FDB9" w:rsidR="005E3F03" w:rsidRPr="00086C2D" w:rsidRDefault="00F6138F" w:rsidP="00887045">
      <w:pPr>
        <w:pStyle w:val="List"/>
      </w:pPr>
      <w:r w:rsidRPr="00086C2D">
        <w:t>a</w:t>
      </w:r>
      <w:r w:rsidR="005E3F03" w:rsidRPr="00086C2D">
        <w:t>ny costs that may be associated with the QPS retaining ownership of IP assets</w:t>
      </w:r>
      <w:r w:rsidR="007B269B" w:rsidRPr="00086C2D">
        <w:t>.</w:t>
      </w:r>
    </w:p>
    <w:p w14:paraId="1F4C7E2F" w14:textId="77777777" w:rsidR="005E3F03" w:rsidRPr="00086C2D" w:rsidRDefault="005E3F03" w:rsidP="00A666EA">
      <w:pPr>
        <w:pStyle w:val="Heading2"/>
      </w:pPr>
      <w:r w:rsidRPr="00086C2D">
        <w:lastRenderedPageBreak/>
        <w:t>Determining Ownership</w:t>
      </w:r>
    </w:p>
    <w:p w14:paraId="5491903D" w14:textId="77777777" w:rsidR="005E3F03" w:rsidRPr="00086C2D" w:rsidRDefault="005E3F03" w:rsidP="00CE0139">
      <w:pPr>
        <w:pStyle w:val="BodyText"/>
      </w:pPr>
      <w:r w:rsidRPr="00086C2D">
        <w:t xml:space="preserve">Section 2.7 of the </w:t>
      </w:r>
      <w:r w:rsidRPr="00086C2D">
        <w:rPr>
          <w:i/>
        </w:rPr>
        <w:t>Queensland Public Sector Intellectual Property Principles</w:t>
      </w:r>
      <w:r w:rsidRPr="00086C2D">
        <w:t xml:space="preserve"> specify that in determining ownership of IP, the option that </w:t>
      </w:r>
      <w:proofErr w:type="spellStart"/>
      <w:r w:rsidRPr="00086C2D">
        <w:t>maximises</w:t>
      </w:r>
      <w:proofErr w:type="spellEnd"/>
      <w:r w:rsidRPr="00086C2D">
        <w:t xml:space="preserve"> opportunity for the State to benefit from the IP should be chosen (this may not necessarily be sole ownership). </w:t>
      </w:r>
    </w:p>
    <w:p w14:paraId="040D3F87" w14:textId="77777777" w:rsidR="005E3F03" w:rsidRPr="00086C2D" w:rsidRDefault="005E3F03" w:rsidP="00CE0139">
      <w:pPr>
        <w:pStyle w:val="BodyText"/>
      </w:pPr>
      <w:r w:rsidRPr="00086C2D">
        <w:t>The assessment for approval of a research project should determine one of three IP ownership positions:</w:t>
      </w:r>
    </w:p>
    <w:p w14:paraId="0B4ADA10" w14:textId="583041C4" w:rsidR="005E3F03" w:rsidRPr="00086C2D" w:rsidRDefault="005E3F03" w:rsidP="00887045">
      <w:pPr>
        <w:pStyle w:val="ListNumber"/>
      </w:pPr>
      <w:r w:rsidRPr="00086C2D">
        <w:t>Sole Ownership – Any IP created is solely owned by the QPS and all IP rights vest in the QPS (moral rights</w:t>
      </w:r>
      <w:r w:rsidR="00E534CA" w:rsidRPr="00086C2D">
        <w:rPr>
          <w:rStyle w:val="FootnoteReference"/>
        </w:rPr>
        <w:footnoteReference w:id="1"/>
      </w:r>
      <w:r w:rsidRPr="00086C2D">
        <w:t xml:space="preserve"> to be attributed to the author as required).</w:t>
      </w:r>
    </w:p>
    <w:p w14:paraId="519C5E3F" w14:textId="77777777" w:rsidR="005E3F03" w:rsidRPr="00086C2D" w:rsidRDefault="005E3F03" w:rsidP="00887045">
      <w:pPr>
        <w:pStyle w:val="ListNumber"/>
      </w:pPr>
      <w:r w:rsidRPr="00086C2D">
        <w:t>Joint Ownership (the default) – Any IP created is jointly owned by the researcher or entity and QPS, to be negotiated as necessary. IP rights are shared.</w:t>
      </w:r>
    </w:p>
    <w:p w14:paraId="76D866D5" w14:textId="07D64659" w:rsidR="005E3F03" w:rsidRPr="00086C2D" w:rsidRDefault="005E3F03" w:rsidP="00887045">
      <w:pPr>
        <w:pStyle w:val="ListNumber"/>
      </w:pPr>
      <w:r w:rsidRPr="00086C2D">
        <w:t xml:space="preserve">Licence </w:t>
      </w:r>
      <w:r w:rsidR="00B06CD4" w:rsidRPr="00086C2D">
        <w:t xml:space="preserve">– </w:t>
      </w:r>
      <w:r w:rsidRPr="00086C2D">
        <w:t>IP rights are licensed (</w:t>
      </w:r>
      <w:proofErr w:type="gramStart"/>
      <w:r w:rsidRPr="00086C2D">
        <w:t>i.e.</w:t>
      </w:r>
      <w:proofErr w:type="gramEnd"/>
      <w:r w:rsidRPr="00086C2D">
        <w:t xml:space="preserve"> royalty-free or otherwise) to the QPS by the researcher/entity either in the form of an exclusive or non-exclusive licence (to be considered where third-party IP already exists).</w:t>
      </w:r>
    </w:p>
    <w:p w14:paraId="66EDF250" w14:textId="254A48A3" w:rsidR="005E3F03" w:rsidRPr="00086C2D" w:rsidRDefault="005E3F03" w:rsidP="00CE0139">
      <w:pPr>
        <w:pStyle w:val="BodyText"/>
      </w:pPr>
      <w:r w:rsidRPr="00086C2D">
        <w:t xml:space="preserve">The preferred position is joint IP ownership between the researcher and QPS. Departure from this position should only be taken in exceptional circumstances. In the event this should occur, the </w:t>
      </w:r>
      <w:r w:rsidR="00E72CC6" w:rsidRPr="00086C2D">
        <w:rPr>
          <w:i/>
        </w:rPr>
        <w:t xml:space="preserve">QPSRC </w:t>
      </w:r>
      <w:r w:rsidR="00A666EA" w:rsidRPr="00086C2D">
        <w:rPr>
          <w:i/>
        </w:rPr>
        <w:t xml:space="preserve">Formal </w:t>
      </w:r>
      <w:r w:rsidRPr="00086C2D">
        <w:rPr>
          <w:i/>
        </w:rPr>
        <w:t>Deed of Agreement</w:t>
      </w:r>
      <w:r w:rsidRPr="00086C2D">
        <w:t xml:space="preserve"> should include additional conditions beyond the default position</w:t>
      </w:r>
      <w:bookmarkStart w:id="5" w:name="_Hlk522699861"/>
      <w:r w:rsidRPr="00086C2D">
        <w:t xml:space="preserve"> to clearly stipulate IP ownership.</w:t>
      </w:r>
    </w:p>
    <w:p w14:paraId="5175C77F" w14:textId="30EDD0AA" w:rsidR="005E3F03" w:rsidRPr="00086C2D" w:rsidRDefault="005E3F03" w:rsidP="00CE0139">
      <w:pPr>
        <w:pStyle w:val="BodyText"/>
      </w:pPr>
      <w:proofErr w:type="gramStart"/>
      <w:r w:rsidRPr="00086C2D">
        <w:t>In the event that</w:t>
      </w:r>
      <w:proofErr w:type="gramEnd"/>
      <w:r w:rsidRPr="00086C2D">
        <w:t xml:space="preserve"> IP is to be licensed to the QPS, the </w:t>
      </w:r>
      <w:r w:rsidR="00BA3CC3" w:rsidRPr="00086C2D">
        <w:t>QPSRC</w:t>
      </w:r>
      <w:r w:rsidRPr="00086C2D">
        <w:t xml:space="preserve"> will need to determine if it will be on a royalty-free basis or if a </w:t>
      </w:r>
      <w:proofErr w:type="spellStart"/>
      <w:r w:rsidRPr="00086C2D">
        <w:t>licence</w:t>
      </w:r>
      <w:proofErr w:type="spellEnd"/>
      <w:r w:rsidRPr="00086C2D">
        <w:t xml:space="preserve"> fee will be required.</w:t>
      </w:r>
    </w:p>
    <w:bookmarkEnd w:id="5"/>
    <w:p w14:paraId="2E732436" w14:textId="28C240F5" w:rsidR="005E3F03" w:rsidRPr="00086C2D" w:rsidRDefault="005E3F03" w:rsidP="00CE0139">
      <w:pPr>
        <w:pStyle w:val="BodyText"/>
      </w:pPr>
      <w:r w:rsidRPr="00086C2D">
        <w:t>Individual assessments involving complex IP considerations should be consulted with the</w:t>
      </w:r>
      <w:r w:rsidR="001B6580" w:rsidRPr="00086C2D">
        <w:t xml:space="preserve"> QPS</w:t>
      </w:r>
      <w:r w:rsidRPr="00086C2D">
        <w:t xml:space="preserve"> Intellectual Property Coordinator. </w:t>
      </w:r>
    </w:p>
    <w:p w14:paraId="55D1D152" w14:textId="77777777" w:rsidR="00EC4FB3" w:rsidRPr="00086C2D" w:rsidRDefault="00EC4FB3" w:rsidP="00ED5D20">
      <w:pPr>
        <w:pStyle w:val="Heading1"/>
        <w:rPr>
          <w:szCs w:val="28"/>
          <w:u w:val="none"/>
        </w:rPr>
      </w:pPr>
      <w:r w:rsidRPr="00086C2D">
        <w:rPr>
          <w:szCs w:val="28"/>
        </w:rPr>
        <w:t>Decisions</w:t>
      </w:r>
    </w:p>
    <w:p w14:paraId="6D580E87" w14:textId="5473C438" w:rsidR="00EC4FB3" w:rsidRPr="00086C2D" w:rsidRDefault="00EC4FB3" w:rsidP="00CE0139">
      <w:pPr>
        <w:pStyle w:val="BodyText"/>
        <w:rPr>
          <w:szCs w:val="22"/>
        </w:rPr>
      </w:pPr>
      <w:r w:rsidRPr="00086C2D">
        <w:rPr>
          <w:szCs w:val="22"/>
        </w:rPr>
        <w:t xml:space="preserve">Decisions are made with the agreement of the majority of </w:t>
      </w:r>
      <w:r w:rsidR="00BA3CC3" w:rsidRPr="00086C2D">
        <w:rPr>
          <w:szCs w:val="22"/>
        </w:rPr>
        <w:t>QPSRC</w:t>
      </w:r>
      <w:r w:rsidRPr="00086C2D">
        <w:rPr>
          <w:szCs w:val="22"/>
        </w:rPr>
        <w:t xml:space="preserve"> members. When instances of majority agreement cannot be met, the Chair will make the final determination. </w:t>
      </w:r>
    </w:p>
    <w:p w14:paraId="663245C7" w14:textId="1A5C49D9" w:rsidR="00EC4FB3" w:rsidRPr="00086C2D" w:rsidRDefault="00EC4FB3" w:rsidP="00CE0139">
      <w:pPr>
        <w:pStyle w:val="BodyText"/>
      </w:pPr>
      <w:r w:rsidRPr="00086C2D">
        <w:t xml:space="preserve">Decisions made within a QPSRC meeting are final. The QPSRC will not engage in debate as to decisions and no appeals process </w:t>
      </w:r>
      <w:r w:rsidR="003C5221" w:rsidRPr="00086C2D">
        <w:t>regarding these decisions is</w:t>
      </w:r>
      <w:r w:rsidRPr="00086C2D">
        <w:t xml:space="preserve"> available. However, if research is not supported in the first instance, advice as to why such a decision was made </w:t>
      </w:r>
      <w:r w:rsidR="00874049" w:rsidRPr="00086C2D">
        <w:t xml:space="preserve">may </w:t>
      </w:r>
      <w:r w:rsidRPr="00086C2D">
        <w:t>be provided</w:t>
      </w:r>
      <w:r w:rsidR="00DE5D9C" w:rsidRPr="00086C2D">
        <w:t>, with resubmission opportunities available.</w:t>
      </w:r>
    </w:p>
    <w:p w14:paraId="31ABE37F" w14:textId="12E967BD" w:rsidR="00EC4FB3" w:rsidRPr="00086C2D" w:rsidRDefault="00EC4FB3" w:rsidP="00CE0139">
      <w:pPr>
        <w:pStyle w:val="BodyText"/>
      </w:pPr>
      <w:r w:rsidRPr="00086C2D">
        <w:t>Applicants will be advised by the QPSRC secretariat as to the outcome of their applications as soon as practical following a QPSRC meeting. Outcomes will be delivered through receipt of an electronic Letter of Notification from the Chair of the QPSRC.</w:t>
      </w:r>
      <w:r w:rsidRPr="00086C2D" w:rsidDel="0096582F">
        <w:t xml:space="preserve"> </w:t>
      </w:r>
    </w:p>
    <w:p w14:paraId="1F3D8418" w14:textId="1BD3C202" w:rsidR="0033783E" w:rsidRPr="00086C2D" w:rsidRDefault="0033783E" w:rsidP="0033783E">
      <w:pPr>
        <w:pStyle w:val="Heading2"/>
      </w:pPr>
      <w:r w:rsidRPr="00086C2D">
        <w:t>Conflict of Interest</w:t>
      </w:r>
    </w:p>
    <w:p w14:paraId="4D4CDEB1" w14:textId="092C57AA" w:rsidR="0033783E" w:rsidRPr="00086C2D" w:rsidRDefault="00BA3CC3" w:rsidP="00CE0139">
      <w:pPr>
        <w:pStyle w:val="BodyText"/>
      </w:pPr>
      <w:r w:rsidRPr="00086C2D">
        <w:t>QPSRC</w:t>
      </w:r>
      <w:r w:rsidR="0033783E" w:rsidRPr="00086C2D">
        <w:t xml:space="preserve"> members are required to declare potential conflicts of interest they may have with any item on the meeting agenda. If the Chair of </w:t>
      </w:r>
      <w:r w:rsidRPr="00086C2D">
        <w:t>QPSRC</w:t>
      </w:r>
      <w:r w:rsidR="0033783E" w:rsidRPr="00086C2D">
        <w:t xml:space="preserve"> </w:t>
      </w:r>
      <w:r w:rsidR="00074856" w:rsidRPr="00086C2D">
        <w:t xml:space="preserve">determines </w:t>
      </w:r>
      <w:r w:rsidR="0033783E" w:rsidRPr="00086C2D">
        <w:t xml:space="preserve">a member to have a conflict of interest in any item, the member will be excused from </w:t>
      </w:r>
      <w:r w:rsidRPr="00086C2D">
        <w:t>QPSRC</w:t>
      </w:r>
      <w:r w:rsidR="0033783E" w:rsidRPr="00086C2D">
        <w:t xml:space="preserve"> discussions and deliberations for that matter. </w:t>
      </w:r>
    </w:p>
    <w:p w14:paraId="2A4350CF" w14:textId="77777777" w:rsidR="00EC4FB3" w:rsidRPr="00086C2D" w:rsidRDefault="00EC4FB3" w:rsidP="00ED5D20">
      <w:pPr>
        <w:pStyle w:val="Heading1"/>
        <w:rPr>
          <w:szCs w:val="28"/>
          <w:u w:val="none"/>
        </w:rPr>
      </w:pPr>
      <w:r w:rsidRPr="00086C2D">
        <w:rPr>
          <w:szCs w:val="28"/>
        </w:rPr>
        <w:t>Minutes</w:t>
      </w:r>
    </w:p>
    <w:p w14:paraId="737FEE96" w14:textId="3A0B0B0A" w:rsidR="00EC4FB3" w:rsidRPr="00086C2D" w:rsidRDefault="00EC4FB3" w:rsidP="00CE0139">
      <w:pPr>
        <w:pStyle w:val="BodyText"/>
      </w:pPr>
      <w:r w:rsidRPr="00086C2D">
        <w:t xml:space="preserve">Draft minutes are to be prepared by the Secretariat for </w:t>
      </w:r>
      <w:r w:rsidR="00BA3CC3" w:rsidRPr="00086C2D">
        <w:t>QPSRC</w:t>
      </w:r>
      <w:r w:rsidRPr="00086C2D">
        <w:t xml:space="preserve"> consideration as soon as practicable after the meeting, no later than the next scheduled meeting date. Minutes are not provided publicly. </w:t>
      </w:r>
    </w:p>
    <w:p w14:paraId="0DF0E516" w14:textId="7E813532" w:rsidR="00EC4FB3" w:rsidRPr="00086C2D" w:rsidRDefault="00EC4FB3" w:rsidP="00ED5D20">
      <w:pPr>
        <w:pStyle w:val="Heading1"/>
        <w:rPr>
          <w:szCs w:val="28"/>
          <w:u w:val="none"/>
        </w:rPr>
      </w:pPr>
      <w:r w:rsidRPr="00086C2D">
        <w:rPr>
          <w:szCs w:val="28"/>
        </w:rPr>
        <w:t xml:space="preserve">Review of </w:t>
      </w:r>
      <w:r w:rsidR="00BA3CC3" w:rsidRPr="00086C2D">
        <w:rPr>
          <w:szCs w:val="28"/>
        </w:rPr>
        <w:t>QPSRC</w:t>
      </w:r>
    </w:p>
    <w:p w14:paraId="73E0D593" w14:textId="00242DB5" w:rsidR="00EC4FB3" w:rsidRPr="00086C2D" w:rsidRDefault="00EC4FB3" w:rsidP="00CE0139">
      <w:pPr>
        <w:pStyle w:val="BodyText"/>
      </w:pPr>
      <w:r w:rsidRPr="00086C2D">
        <w:t xml:space="preserve">The </w:t>
      </w:r>
      <w:r w:rsidR="00BA3CC3" w:rsidRPr="00086C2D">
        <w:t>QPSRC</w:t>
      </w:r>
      <w:r w:rsidRPr="00086C2D">
        <w:t xml:space="preserve"> and Terms of Reference are scheduled for annual review</w:t>
      </w:r>
      <w:r w:rsidR="00F52611" w:rsidRPr="00086C2D">
        <w:t xml:space="preserve"> or as required</w:t>
      </w:r>
      <w:bookmarkEnd w:id="1"/>
      <w:r w:rsidR="00F52611" w:rsidRPr="00086C2D">
        <w:t xml:space="preserve">. </w:t>
      </w:r>
    </w:p>
    <w:sectPr w:rsidR="00EC4FB3" w:rsidRPr="00086C2D" w:rsidSect="001B2165">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8362" w14:textId="77777777" w:rsidR="0054017D" w:rsidRDefault="0054017D" w:rsidP="00EC4FB3">
      <w:pPr>
        <w:spacing w:after="0" w:line="240" w:lineRule="auto"/>
      </w:pPr>
      <w:r>
        <w:separator/>
      </w:r>
    </w:p>
  </w:endnote>
  <w:endnote w:type="continuationSeparator" w:id="0">
    <w:p w14:paraId="09DDCAB0" w14:textId="77777777" w:rsidR="0054017D" w:rsidRDefault="0054017D" w:rsidP="00EC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BD6D" w14:textId="18CDBF49" w:rsidR="00BB1AA1" w:rsidRDefault="00BB1AA1">
    <w:pPr>
      <w:pStyle w:val="Footer"/>
    </w:pPr>
    <w:r>
      <w:rPr>
        <w:noProof/>
      </w:rPr>
      <mc:AlternateContent>
        <mc:Choice Requires="wps">
          <w:drawing>
            <wp:anchor distT="0" distB="0" distL="0" distR="0" simplePos="0" relativeHeight="251664384" behindDoc="0" locked="0" layoutInCell="1" allowOverlap="1" wp14:anchorId="28301E3A" wp14:editId="56AE2458">
              <wp:simplePos x="635" y="635"/>
              <wp:positionH relativeFrom="page">
                <wp:align>center</wp:align>
              </wp:positionH>
              <wp:positionV relativeFrom="page">
                <wp:align>bottom</wp:align>
              </wp:positionV>
              <wp:extent cx="443865" cy="443865"/>
              <wp:effectExtent l="0" t="0" r="4445" b="0"/>
              <wp:wrapNone/>
              <wp:docPr id="7" name="Text Box 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AB570" w14:textId="107F6A46" w:rsidR="00BB1AA1" w:rsidRPr="00BB1AA1" w:rsidRDefault="00BB1AA1" w:rsidP="00BB1AA1">
                          <w:pPr>
                            <w:spacing w:after="0"/>
                            <w:rPr>
                              <w:rFonts w:ascii="Calibri" w:eastAsia="Calibri" w:hAnsi="Calibri" w:cs="Calibri"/>
                              <w:noProof/>
                              <w:color w:val="000000"/>
                              <w:sz w:val="24"/>
                              <w:szCs w:val="24"/>
                            </w:rPr>
                          </w:pPr>
                          <w:r w:rsidRPr="00BB1AA1">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01E3A" id="_x0000_t202" coordsize="21600,21600" o:spt="202" path="m,l,21600r21600,l21600,xe">
              <v:stroke joinstyle="miter"/>
              <v:path gradientshapeok="t" o:connecttype="rect"/>
            </v:shapetype>
            <v:shape id="Text Box 7" o:spid="_x0000_s1028"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B2AB570" w14:textId="107F6A46" w:rsidR="00BB1AA1" w:rsidRPr="00BB1AA1" w:rsidRDefault="00BB1AA1" w:rsidP="00BB1AA1">
                    <w:pPr>
                      <w:spacing w:after="0"/>
                      <w:rPr>
                        <w:rFonts w:ascii="Calibri" w:eastAsia="Calibri" w:hAnsi="Calibri" w:cs="Calibri"/>
                        <w:noProof/>
                        <w:color w:val="000000"/>
                        <w:sz w:val="24"/>
                        <w:szCs w:val="24"/>
                      </w:rPr>
                    </w:pPr>
                    <w:r w:rsidRPr="00BB1AA1">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B3AE" w14:textId="473D2BC8" w:rsidR="00A666EA" w:rsidRDefault="00BB1AA1" w:rsidP="00525401">
    <w:pPr>
      <w:pStyle w:val="Footer"/>
      <w:rPr>
        <w:rFonts w:ascii="Arial" w:hAnsi="Arial" w:cs="Arial"/>
        <w:b/>
        <w:color w:val="FFFFFF"/>
        <w:spacing w:val="200"/>
        <w:sz w:val="18"/>
        <w:szCs w:val="18"/>
      </w:rPr>
    </w:pPr>
    <w:r>
      <w:rPr>
        <w:rFonts w:ascii="Arial" w:hAnsi="Arial" w:cs="Arial"/>
        <w:b/>
        <w:noProof/>
        <w:color w:val="FFFFFF"/>
        <w:spacing w:val="200"/>
        <w:sz w:val="18"/>
        <w:szCs w:val="18"/>
      </w:rPr>
      <mc:AlternateContent>
        <mc:Choice Requires="wps">
          <w:drawing>
            <wp:anchor distT="0" distB="0" distL="0" distR="0" simplePos="0" relativeHeight="251665408" behindDoc="0" locked="0" layoutInCell="1" allowOverlap="1" wp14:anchorId="10C57791" wp14:editId="71B52047">
              <wp:simplePos x="689212" y="9662615"/>
              <wp:positionH relativeFrom="page">
                <wp:align>center</wp:align>
              </wp:positionH>
              <wp:positionV relativeFrom="page">
                <wp:align>bottom</wp:align>
              </wp:positionV>
              <wp:extent cx="443865" cy="443865"/>
              <wp:effectExtent l="0" t="0" r="4445" b="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860B81" w14:textId="32744C46" w:rsidR="00BB1AA1" w:rsidRPr="00BB1AA1" w:rsidRDefault="00BB1AA1" w:rsidP="00BB1AA1">
                          <w:pPr>
                            <w:spacing w:after="0"/>
                            <w:rPr>
                              <w:rFonts w:ascii="Calibri" w:eastAsia="Calibri" w:hAnsi="Calibri" w:cs="Calibri"/>
                              <w:noProof/>
                              <w:color w:val="000000"/>
                              <w:sz w:val="24"/>
                              <w:szCs w:val="24"/>
                            </w:rPr>
                          </w:pPr>
                          <w:r w:rsidRPr="00BB1AA1">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C57791" id="_x0000_t202" coordsize="21600,21600" o:spt="202" path="m,l,21600r21600,l21600,xe">
              <v:stroke joinstyle="miter"/>
              <v:path gradientshapeok="t" o:connecttype="rect"/>
            </v:shapetype>
            <v:shape id="Text Box 8" o:spid="_x0000_s1029"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5860B81" w14:textId="32744C46" w:rsidR="00BB1AA1" w:rsidRPr="00BB1AA1" w:rsidRDefault="00BB1AA1" w:rsidP="00BB1AA1">
                    <w:pPr>
                      <w:spacing w:after="0"/>
                      <w:rPr>
                        <w:rFonts w:ascii="Calibri" w:eastAsia="Calibri" w:hAnsi="Calibri" w:cs="Calibri"/>
                        <w:noProof/>
                        <w:color w:val="000000"/>
                        <w:sz w:val="24"/>
                        <w:szCs w:val="24"/>
                      </w:rPr>
                    </w:pPr>
                    <w:r w:rsidRPr="00BB1AA1">
                      <w:rPr>
                        <w:rFonts w:ascii="Calibri" w:eastAsia="Calibri" w:hAnsi="Calibri" w:cs="Calibri"/>
                        <w:noProof/>
                        <w:color w:val="000000"/>
                        <w:sz w:val="24"/>
                        <w:szCs w:val="24"/>
                      </w:rPr>
                      <w:t xml:space="preserve"> OFFICIAL </w:t>
                    </w:r>
                  </w:p>
                </w:txbxContent>
              </v:textbox>
              <w10:wrap anchorx="page" anchory="page"/>
            </v:shape>
          </w:pict>
        </mc:Fallback>
      </mc:AlternateContent>
    </w:r>
  </w:p>
  <w:p w14:paraId="37040CA4" w14:textId="77777777" w:rsidR="00F70EA2" w:rsidRDefault="00F70EA2" w:rsidP="00F70EA2">
    <w:pPr>
      <w:pStyle w:val="Footer"/>
      <w:pBdr>
        <w:top w:val="single" w:sz="6" w:space="0" w:color="auto"/>
        <w:left w:val="single" w:sz="6" w:space="0" w:color="auto"/>
        <w:bottom w:val="single" w:sz="6" w:space="0" w:color="auto"/>
        <w:right w:val="single" w:sz="6" w:space="0" w:color="auto"/>
      </w:pBdr>
      <w:shd w:val="solid" w:color="auto" w:fill="auto"/>
      <w:ind w:left="20"/>
      <w:jc w:val="center"/>
      <w:rPr>
        <w:b/>
      </w:rPr>
    </w:pPr>
    <w:r>
      <w:rPr>
        <w:rFonts w:ascii="Arial" w:hAnsi="Arial" w:cs="Arial"/>
        <w:b/>
        <w:color w:val="FFFFFF"/>
        <w:spacing w:val="200"/>
        <w:sz w:val="18"/>
        <w:szCs w:val="18"/>
      </w:rPr>
      <w:t>QUEENSLAND POLICE SERVICE</w:t>
    </w:r>
  </w:p>
  <w:p w14:paraId="3165B2CA" w14:textId="77777777" w:rsidR="00F70EA2" w:rsidRPr="00364141" w:rsidRDefault="00F70EA2" w:rsidP="00F70EA2">
    <w:pPr>
      <w:pStyle w:val="Footer"/>
      <w:rPr>
        <w:b/>
        <w:sz w:val="20"/>
      </w:rPr>
    </w:pPr>
  </w:p>
  <w:p w14:paraId="13C7ECA2" w14:textId="539060EF" w:rsidR="006D642E" w:rsidRPr="00F70EA2" w:rsidRDefault="00F70EA2" w:rsidP="00E74D56">
    <w:pPr>
      <w:pStyle w:val="Footer"/>
      <w:tabs>
        <w:tab w:val="clear" w:pos="4513"/>
        <w:tab w:val="clear" w:pos="9026"/>
      </w:tabs>
      <w:rPr>
        <w:rFonts w:ascii="Arial" w:hAnsi="Arial" w:cs="Arial"/>
        <w:sz w:val="20"/>
      </w:rPr>
    </w:pPr>
    <w:r w:rsidRPr="00364141">
      <w:rPr>
        <w:rFonts w:ascii="Arial" w:hAnsi="Arial" w:cs="Arial"/>
        <w:sz w:val="20"/>
      </w:rPr>
      <w:t>QPSRC</w:t>
    </w:r>
    <w:r w:rsidRPr="00364141">
      <w:rPr>
        <w:rFonts w:ascii="Arial" w:hAnsi="Arial" w:cs="Arial"/>
        <w:sz w:val="20"/>
      </w:rPr>
      <w:ptab w:relativeTo="margin" w:alignment="center" w:leader="none"/>
    </w:r>
    <w:r w:rsidRPr="00364141">
      <w:rPr>
        <w:rFonts w:ascii="Arial" w:hAnsi="Arial" w:cs="Arial"/>
        <w:sz w:val="20"/>
      </w:rPr>
      <w:t xml:space="preserve">Page </w:t>
    </w:r>
    <w:r w:rsidRPr="00364141">
      <w:rPr>
        <w:rFonts w:ascii="Arial" w:hAnsi="Arial" w:cs="Arial"/>
        <w:bCs/>
        <w:sz w:val="20"/>
      </w:rPr>
      <w:fldChar w:fldCharType="begin"/>
    </w:r>
    <w:r w:rsidRPr="00364141">
      <w:rPr>
        <w:rFonts w:ascii="Arial" w:hAnsi="Arial" w:cs="Arial"/>
        <w:bCs/>
        <w:sz w:val="20"/>
      </w:rPr>
      <w:instrText xml:space="preserve"> PAGE  \* Arabic  \* MERGEFORMAT </w:instrText>
    </w:r>
    <w:r w:rsidRPr="00364141">
      <w:rPr>
        <w:rFonts w:ascii="Arial" w:hAnsi="Arial" w:cs="Arial"/>
        <w:bCs/>
        <w:sz w:val="20"/>
      </w:rPr>
      <w:fldChar w:fldCharType="separate"/>
    </w:r>
    <w:r>
      <w:rPr>
        <w:rFonts w:ascii="Arial" w:hAnsi="Arial" w:cs="Arial"/>
        <w:bCs/>
        <w:sz w:val="20"/>
      </w:rPr>
      <w:t>1</w:t>
    </w:r>
    <w:r w:rsidRPr="00364141">
      <w:rPr>
        <w:rFonts w:ascii="Arial" w:hAnsi="Arial" w:cs="Arial"/>
        <w:bCs/>
        <w:sz w:val="20"/>
      </w:rPr>
      <w:fldChar w:fldCharType="end"/>
    </w:r>
    <w:r w:rsidRPr="00364141">
      <w:rPr>
        <w:rFonts w:ascii="Arial" w:hAnsi="Arial" w:cs="Arial"/>
        <w:sz w:val="20"/>
      </w:rPr>
      <w:t xml:space="preserve"> of </w:t>
    </w:r>
    <w:r w:rsidRPr="007C0D01">
      <w:rPr>
        <w:rFonts w:ascii="Arial" w:hAnsi="Arial" w:cs="Arial"/>
        <w:bCs/>
        <w:sz w:val="20"/>
      </w:rPr>
      <w:fldChar w:fldCharType="begin"/>
    </w:r>
    <w:r w:rsidRPr="007C0D01">
      <w:rPr>
        <w:rFonts w:ascii="Arial" w:hAnsi="Arial" w:cs="Arial"/>
        <w:bCs/>
        <w:sz w:val="20"/>
      </w:rPr>
      <w:instrText xml:space="preserve"> NUMPAGES  \* Arabic  \* MERGEFORMAT </w:instrText>
    </w:r>
    <w:r w:rsidRPr="007C0D01">
      <w:rPr>
        <w:rFonts w:ascii="Arial" w:hAnsi="Arial" w:cs="Arial"/>
        <w:bCs/>
        <w:sz w:val="20"/>
      </w:rPr>
      <w:fldChar w:fldCharType="separate"/>
    </w:r>
    <w:r w:rsidRPr="007C0D01">
      <w:rPr>
        <w:rFonts w:ascii="Arial" w:hAnsi="Arial" w:cs="Arial"/>
        <w:bCs/>
        <w:sz w:val="20"/>
      </w:rPr>
      <w:t>6</w:t>
    </w:r>
    <w:r w:rsidRPr="007C0D01">
      <w:rPr>
        <w:rFonts w:ascii="Arial" w:hAnsi="Arial" w:cs="Arial"/>
        <w:bCs/>
        <w:sz w:val="20"/>
      </w:rPr>
      <w:fldChar w:fldCharType="end"/>
    </w:r>
    <w:r w:rsidRPr="007C0D01">
      <w:rPr>
        <w:rFonts w:ascii="Arial" w:hAnsi="Arial" w:cs="Arial"/>
        <w:bCs/>
        <w:sz w:val="20"/>
      </w:rPr>
      <w:ptab w:relativeTo="margin" w:alignment="right" w:leader="none"/>
    </w:r>
    <w:r w:rsidR="00B742D2">
      <w:rPr>
        <w:rFonts w:ascii="Arial" w:hAnsi="Arial" w:cs="Arial"/>
        <w:bCs/>
        <w:sz w:val="20"/>
      </w:rPr>
      <w:t xml:space="preserve"> </w:t>
    </w:r>
    <w:r w:rsidR="001A51C5">
      <w:rPr>
        <w:rFonts w:ascii="Arial" w:hAnsi="Arial" w:cs="Arial"/>
        <w:bCs/>
        <w:sz w:val="20"/>
      </w:rPr>
      <w:t xml:space="preserve">October </w:t>
    </w:r>
    <w:r w:rsidR="00977EE3">
      <w:rPr>
        <w:rFonts w:ascii="Arial" w:hAnsi="Arial" w:cs="Arial"/>
        <w:bCs/>
        <w:sz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F9A8" w14:textId="16FD1ED5" w:rsidR="002503AD" w:rsidRDefault="00BB1AA1" w:rsidP="002503AD">
    <w:pPr>
      <w:pStyle w:val="Footer"/>
      <w:pBdr>
        <w:top w:val="single" w:sz="6" w:space="0" w:color="auto"/>
        <w:left w:val="single" w:sz="6" w:space="0" w:color="auto"/>
        <w:bottom w:val="single" w:sz="6" w:space="0" w:color="auto"/>
        <w:right w:val="single" w:sz="6" w:space="0" w:color="auto"/>
      </w:pBdr>
      <w:shd w:val="solid" w:color="auto" w:fill="auto"/>
      <w:ind w:left="20"/>
      <w:jc w:val="center"/>
      <w:rPr>
        <w:b/>
      </w:rPr>
    </w:pPr>
    <w:r>
      <w:rPr>
        <w:rFonts w:ascii="Arial" w:hAnsi="Arial" w:cs="Arial"/>
        <w:b/>
        <w:noProof/>
        <w:color w:val="FFFFFF"/>
        <w:spacing w:val="200"/>
        <w:sz w:val="18"/>
        <w:szCs w:val="18"/>
      </w:rPr>
      <mc:AlternateContent>
        <mc:Choice Requires="wps">
          <w:drawing>
            <wp:anchor distT="0" distB="0" distL="0" distR="0" simplePos="0" relativeHeight="251663360" behindDoc="0" locked="0" layoutInCell="1" allowOverlap="1" wp14:anchorId="0794A24E" wp14:editId="26921AC3">
              <wp:simplePos x="686435" y="9791700"/>
              <wp:positionH relativeFrom="page">
                <wp:align>center</wp:align>
              </wp:positionH>
              <wp:positionV relativeFrom="page">
                <wp:align>bottom</wp:align>
              </wp:positionV>
              <wp:extent cx="443865" cy="443865"/>
              <wp:effectExtent l="0" t="0" r="4445" b="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70BB7" w14:textId="4FD9423F" w:rsidR="00BB1AA1" w:rsidRPr="00BB1AA1" w:rsidRDefault="00BB1AA1" w:rsidP="00BB1AA1">
                          <w:pPr>
                            <w:spacing w:after="0"/>
                            <w:rPr>
                              <w:rFonts w:ascii="Calibri" w:eastAsia="Calibri" w:hAnsi="Calibri" w:cs="Calibri"/>
                              <w:noProof/>
                              <w:color w:val="000000"/>
                              <w:sz w:val="24"/>
                              <w:szCs w:val="24"/>
                            </w:rPr>
                          </w:pPr>
                          <w:r w:rsidRPr="00BB1AA1">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4A24E" id="_x0000_t202" coordsize="21600,21600" o:spt="202" path="m,l,21600r21600,l21600,xe">
              <v:stroke joinstyle="miter"/>
              <v:path gradientshapeok="t" o:connecttype="rect"/>
            </v:shapetype>
            <v:shape id="Text Box 6" o:spid="_x0000_s1030" type="#_x0000_t202" alt="&quot;&quo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8870BB7" w14:textId="4FD9423F" w:rsidR="00BB1AA1" w:rsidRPr="00BB1AA1" w:rsidRDefault="00BB1AA1" w:rsidP="00BB1AA1">
                    <w:pPr>
                      <w:spacing w:after="0"/>
                      <w:rPr>
                        <w:rFonts w:ascii="Calibri" w:eastAsia="Calibri" w:hAnsi="Calibri" w:cs="Calibri"/>
                        <w:noProof/>
                        <w:color w:val="000000"/>
                        <w:sz w:val="24"/>
                        <w:szCs w:val="24"/>
                      </w:rPr>
                    </w:pPr>
                    <w:r w:rsidRPr="00BB1AA1">
                      <w:rPr>
                        <w:rFonts w:ascii="Calibri" w:eastAsia="Calibri" w:hAnsi="Calibri" w:cs="Calibri"/>
                        <w:noProof/>
                        <w:color w:val="000000"/>
                        <w:sz w:val="24"/>
                        <w:szCs w:val="24"/>
                      </w:rPr>
                      <w:t xml:space="preserve"> OFFICIAL </w:t>
                    </w:r>
                  </w:p>
                </w:txbxContent>
              </v:textbox>
              <w10:wrap anchorx="page" anchory="page"/>
            </v:shape>
          </w:pict>
        </mc:Fallback>
      </mc:AlternateContent>
    </w:r>
    <w:r w:rsidR="002503AD">
      <w:rPr>
        <w:rFonts w:ascii="Arial" w:hAnsi="Arial" w:cs="Arial"/>
        <w:b/>
        <w:color w:val="FFFFFF"/>
        <w:spacing w:val="200"/>
        <w:sz w:val="18"/>
        <w:szCs w:val="18"/>
      </w:rPr>
      <w:t>QUEENSLAND POLICE SERVICE</w:t>
    </w:r>
  </w:p>
  <w:p w14:paraId="690B945F" w14:textId="77777777" w:rsidR="002503AD" w:rsidRPr="00364141" w:rsidRDefault="002503AD" w:rsidP="002503AD">
    <w:pPr>
      <w:pStyle w:val="Footer"/>
      <w:rPr>
        <w:b/>
        <w:sz w:val="20"/>
      </w:rPr>
    </w:pPr>
  </w:p>
  <w:p w14:paraId="1F620C5B" w14:textId="0AB38C7B" w:rsidR="00347A6C" w:rsidRPr="002503AD" w:rsidRDefault="002503AD" w:rsidP="00736E66">
    <w:pPr>
      <w:pStyle w:val="Footer"/>
      <w:tabs>
        <w:tab w:val="clear" w:pos="4513"/>
        <w:tab w:val="clear" w:pos="9026"/>
      </w:tabs>
      <w:rPr>
        <w:rFonts w:ascii="Arial" w:hAnsi="Arial" w:cs="Arial"/>
        <w:sz w:val="20"/>
      </w:rPr>
    </w:pPr>
    <w:r w:rsidRPr="00364141">
      <w:rPr>
        <w:rFonts w:ascii="Arial" w:hAnsi="Arial" w:cs="Arial"/>
        <w:sz w:val="20"/>
      </w:rPr>
      <w:t>QPS</w:t>
    </w:r>
    <w:r w:rsidR="000852B5">
      <w:rPr>
        <w:rFonts w:ascii="Arial" w:hAnsi="Arial" w:cs="Arial"/>
        <w:sz w:val="20"/>
      </w:rPr>
      <w:t>RC</w:t>
    </w:r>
    <w:r w:rsidRPr="00364141">
      <w:rPr>
        <w:rFonts w:ascii="Arial" w:hAnsi="Arial" w:cs="Arial"/>
        <w:sz w:val="20"/>
      </w:rPr>
      <w:ptab w:relativeTo="margin" w:alignment="center" w:leader="none"/>
    </w:r>
    <w:r w:rsidRPr="00364141">
      <w:rPr>
        <w:rFonts w:ascii="Arial" w:hAnsi="Arial" w:cs="Arial"/>
        <w:sz w:val="20"/>
      </w:rPr>
      <w:t xml:space="preserve">Page </w:t>
    </w:r>
    <w:r w:rsidRPr="007C0D01">
      <w:rPr>
        <w:rFonts w:ascii="Arial" w:hAnsi="Arial" w:cs="Arial"/>
        <w:bCs/>
        <w:sz w:val="20"/>
      </w:rPr>
      <w:fldChar w:fldCharType="begin"/>
    </w:r>
    <w:r w:rsidRPr="007C0D01">
      <w:rPr>
        <w:rFonts w:ascii="Arial" w:hAnsi="Arial" w:cs="Arial"/>
        <w:bCs/>
        <w:sz w:val="20"/>
      </w:rPr>
      <w:instrText xml:space="preserve"> PAGE  \* Arabic  \* MERGEFORMAT </w:instrText>
    </w:r>
    <w:r w:rsidRPr="007C0D01">
      <w:rPr>
        <w:rFonts w:ascii="Arial" w:hAnsi="Arial" w:cs="Arial"/>
        <w:bCs/>
        <w:sz w:val="20"/>
      </w:rPr>
      <w:fldChar w:fldCharType="separate"/>
    </w:r>
    <w:r w:rsidRPr="007C0D01">
      <w:rPr>
        <w:rFonts w:ascii="Arial" w:hAnsi="Arial" w:cs="Arial"/>
        <w:bCs/>
        <w:sz w:val="20"/>
      </w:rPr>
      <w:t>1</w:t>
    </w:r>
    <w:r w:rsidRPr="007C0D01">
      <w:rPr>
        <w:rFonts w:ascii="Arial" w:hAnsi="Arial" w:cs="Arial"/>
        <w:bCs/>
        <w:sz w:val="20"/>
      </w:rPr>
      <w:fldChar w:fldCharType="end"/>
    </w:r>
    <w:r w:rsidRPr="007C0D01">
      <w:rPr>
        <w:rFonts w:ascii="Arial" w:hAnsi="Arial" w:cs="Arial"/>
        <w:sz w:val="20"/>
      </w:rPr>
      <w:t xml:space="preserve"> of </w:t>
    </w:r>
    <w:r w:rsidRPr="007C0D01">
      <w:rPr>
        <w:rFonts w:ascii="Arial" w:hAnsi="Arial" w:cs="Arial"/>
        <w:bCs/>
        <w:sz w:val="20"/>
      </w:rPr>
      <w:fldChar w:fldCharType="begin"/>
    </w:r>
    <w:r w:rsidRPr="007C0D01">
      <w:rPr>
        <w:rFonts w:ascii="Arial" w:hAnsi="Arial" w:cs="Arial"/>
        <w:bCs/>
        <w:sz w:val="20"/>
      </w:rPr>
      <w:instrText xml:space="preserve"> NUMPAGES  \* Arabic  \* MERGEFORMAT </w:instrText>
    </w:r>
    <w:r w:rsidRPr="007C0D01">
      <w:rPr>
        <w:rFonts w:ascii="Arial" w:hAnsi="Arial" w:cs="Arial"/>
        <w:bCs/>
        <w:sz w:val="20"/>
      </w:rPr>
      <w:fldChar w:fldCharType="separate"/>
    </w:r>
    <w:r w:rsidRPr="007C0D01">
      <w:rPr>
        <w:rFonts w:ascii="Arial" w:hAnsi="Arial" w:cs="Arial"/>
        <w:bCs/>
        <w:sz w:val="20"/>
      </w:rPr>
      <w:t>6</w:t>
    </w:r>
    <w:r w:rsidRPr="007C0D01">
      <w:rPr>
        <w:rFonts w:ascii="Arial" w:hAnsi="Arial" w:cs="Arial"/>
        <w:bCs/>
        <w:sz w:val="20"/>
      </w:rPr>
      <w:fldChar w:fldCharType="end"/>
    </w:r>
    <w:r w:rsidRPr="007C0D01">
      <w:rPr>
        <w:rFonts w:ascii="Arial" w:hAnsi="Arial" w:cs="Arial"/>
        <w:bCs/>
        <w:sz w:val="20"/>
      </w:rPr>
      <w:ptab w:relativeTo="margin" w:alignment="right" w:leader="none"/>
    </w:r>
    <w:r w:rsidR="00B742D2">
      <w:rPr>
        <w:rFonts w:ascii="Arial" w:hAnsi="Arial" w:cs="Arial"/>
        <w:bCs/>
        <w:sz w:val="20"/>
      </w:rPr>
      <w:t xml:space="preserve"> </w:t>
    </w:r>
    <w:r w:rsidR="00393FE1">
      <w:rPr>
        <w:rFonts w:ascii="Arial" w:hAnsi="Arial" w:cs="Arial"/>
        <w:bCs/>
        <w:sz w:val="20"/>
      </w:rPr>
      <w:t>November</w:t>
    </w:r>
    <w:r w:rsidR="00F6138F">
      <w:rPr>
        <w:rFonts w:ascii="Arial" w:hAnsi="Arial" w:cs="Arial"/>
        <w:bCs/>
        <w:sz w:val="20"/>
      </w:rPr>
      <w:t xml:space="preserve"> </w:t>
    </w:r>
    <w:r w:rsidR="00C76D76">
      <w:rPr>
        <w:rFonts w:ascii="Arial" w:hAnsi="Arial" w:cs="Arial"/>
        <w:bCs/>
        <w:sz w:val="20"/>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765F" w14:textId="77777777" w:rsidR="0054017D" w:rsidRDefault="0054017D" w:rsidP="00EC4FB3">
      <w:pPr>
        <w:spacing w:after="0" w:line="240" w:lineRule="auto"/>
      </w:pPr>
      <w:r>
        <w:separator/>
      </w:r>
    </w:p>
  </w:footnote>
  <w:footnote w:type="continuationSeparator" w:id="0">
    <w:p w14:paraId="71F4A9DB" w14:textId="77777777" w:rsidR="0054017D" w:rsidRDefault="0054017D" w:rsidP="00EC4FB3">
      <w:pPr>
        <w:spacing w:after="0" w:line="240" w:lineRule="auto"/>
      </w:pPr>
      <w:r>
        <w:continuationSeparator/>
      </w:r>
    </w:p>
  </w:footnote>
  <w:footnote w:id="1">
    <w:p w14:paraId="712BA815" w14:textId="77777777" w:rsidR="00E534CA" w:rsidRPr="00B742D2" w:rsidRDefault="00E534CA" w:rsidP="00152473">
      <w:pPr>
        <w:pStyle w:val="EndnoteText"/>
        <w:ind w:left="284" w:hanging="284"/>
        <w:contextualSpacing/>
        <w:rPr>
          <w:rFonts w:ascii="Arial" w:hAnsi="Arial" w:cs="Arial"/>
          <w:sz w:val="16"/>
          <w:szCs w:val="18"/>
        </w:rPr>
      </w:pPr>
      <w:r w:rsidRPr="007F1B07">
        <w:rPr>
          <w:rStyle w:val="FootnoteReference"/>
          <w:rFonts w:ascii="Arial" w:hAnsi="Arial" w:cs="Arial"/>
          <w:sz w:val="18"/>
        </w:rPr>
        <w:footnoteRef/>
      </w:r>
      <w:r w:rsidRPr="007F1B07">
        <w:rPr>
          <w:rFonts w:ascii="Arial" w:hAnsi="Arial" w:cs="Arial"/>
          <w:sz w:val="18"/>
        </w:rPr>
        <w:t xml:space="preserve"> </w:t>
      </w:r>
      <w:r w:rsidRPr="00B742D2">
        <w:rPr>
          <w:rFonts w:ascii="Arial" w:hAnsi="Arial" w:cs="Arial"/>
          <w:sz w:val="16"/>
          <w:szCs w:val="18"/>
        </w:rPr>
        <w:tab/>
        <w:t xml:space="preserve">Moral rights derive from </w:t>
      </w:r>
      <w:r w:rsidRPr="00B742D2">
        <w:rPr>
          <w:rStyle w:val="FootnoteTextChar"/>
          <w:sz w:val="16"/>
          <w:szCs w:val="18"/>
        </w:rPr>
        <w:t>the</w:t>
      </w:r>
      <w:r w:rsidRPr="00B742D2">
        <w:rPr>
          <w:rFonts w:ascii="Arial" w:hAnsi="Arial" w:cs="Arial"/>
          <w:sz w:val="16"/>
          <w:szCs w:val="18"/>
        </w:rPr>
        <w:t xml:space="preserve"> </w:t>
      </w:r>
      <w:r w:rsidRPr="00B742D2">
        <w:rPr>
          <w:rFonts w:ascii="Arial" w:hAnsi="Arial" w:cs="Arial"/>
          <w:i/>
          <w:sz w:val="16"/>
          <w:szCs w:val="18"/>
        </w:rPr>
        <w:t>Copyright Act 1968</w:t>
      </w:r>
      <w:r w:rsidRPr="00B742D2">
        <w:rPr>
          <w:rFonts w:ascii="Arial" w:hAnsi="Arial" w:cs="Arial"/>
          <w:sz w:val="16"/>
          <w:szCs w:val="18"/>
        </w:rPr>
        <w:t xml:space="preserve"> (Cth) </w:t>
      </w:r>
      <w:r w:rsidRPr="00B742D2">
        <w:rPr>
          <w:rStyle w:val="FootnoteTextChar"/>
          <w:sz w:val="16"/>
          <w:szCs w:val="18"/>
        </w:rPr>
        <w:t>and</w:t>
      </w:r>
      <w:r w:rsidRPr="00B742D2">
        <w:rPr>
          <w:rFonts w:ascii="Arial" w:hAnsi="Arial" w:cs="Arial"/>
          <w:sz w:val="16"/>
          <w:szCs w:val="18"/>
        </w:rPr>
        <w:t xml:space="preserve"> are defined as personal rights that belong to authors in relation to their work including:</w:t>
      </w:r>
    </w:p>
    <w:p w14:paraId="32DC18C7" w14:textId="3357FF43" w:rsidR="00E534CA" w:rsidRPr="00B742D2" w:rsidRDefault="00E534CA" w:rsidP="00152473">
      <w:pPr>
        <w:pStyle w:val="List"/>
        <w:numPr>
          <w:ilvl w:val="0"/>
          <w:numId w:val="19"/>
        </w:numPr>
        <w:spacing w:after="0" w:line="240" w:lineRule="auto"/>
        <w:ind w:left="568" w:hanging="284"/>
        <w:rPr>
          <w:sz w:val="16"/>
          <w:szCs w:val="20"/>
        </w:rPr>
      </w:pPr>
      <w:r w:rsidRPr="00B742D2">
        <w:rPr>
          <w:sz w:val="16"/>
          <w:szCs w:val="20"/>
        </w:rPr>
        <w:t>A right of attribution of authorship;</w:t>
      </w:r>
    </w:p>
    <w:p w14:paraId="40AF5A8B" w14:textId="29E1B28E" w:rsidR="00E534CA" w:rsidRPr="00B742D2" w:rsidRDefault="00E534CA" w:rsidP="00152473">
      <w:pPr>
        <w:pStyle w:val="List"/>
        <w:numPr>
          <w:ilvl w:val="0"/>
          <w:numId w:val="19"/>
        </w:numPr>
        <w:spacing w:after="0" w:line="240" w:lineRule="auto"/>
        <w:ind w:left="568" w:hanging="284"/>
        <w:rPr>
          <w:sz w:val="16"/>
          <w:szCs w:val="20"/>
        </w:rPr>
      </w:pPr>
      <w:r w:rsidRPr="00B742D2">
        <w:rPr>
          <w:sz w:val="16"/>
          <w:szCs w:val="20"/>
        </w:rPr>
        <w:t>A right not to have authorship falsely attributed; or</w:t>
      </w:r>
    </w:p>
    <w:p w14:paraId="22314E94" w14:textId="198D7795" w:rsidR="00E534CA" w:rsidRPr="00B742D2" w:rsidRDefault="00E534CA" w:rsidP="00152473">
      <w:pPr>
        <w:pStyle w:val="List"/>
        <w:numPr>
          <w:ilvl w:val="0"/>
          <w:numId w:val="19"/>
        </w:numPr>
        <w:spacing w:after="0" w:line="240" w:lineRule="auto"/>
        <w:ind w:left="568" w:hanging="284"/>
        <w:rPr>
          <w:sz w:val="16"/>
          <w:szCs w:val="20"/>
        </w:rPr>
      </w:pPr>
      <w:r w:rsidRPr="00B742D2">
        <w:rPr>
          <w:sz w:val="16"/>
          <w:szCs w:val="20"/>
        </w:rPr>
        <w:t>A right of integrity of authorship (doing anything to the work that would be prejudicial to the author’s reputation).</w:t>
      </w:r>
    </w:p>
    <w:p w14:paraId="1491FF2F" w14:textId="6A4CEB21" w:rsidR="00E534CA" w:rsidRPr="00E534CA" w:rsidRDefault="00E534CA" w:rsidP="00152473">
      <w:pPr>
        <w:pStyle w:val="FootnoteText"/>
        <w:ind w:left="284" w:firstLine="0"/>
        <w:contextualSpacing/>
      </w:pPr>
      <w:r w:rsidRPr="00B742D2">
        <w:rPr>
          <w:sz w:val="16"/>
          <w:szCs w:val="18"/>
        </w:rPr>
        <w:t>Moral rights are consigned to authors and may not be disposed of or sold, howeve</w:t>
      </w:r>
      <w:r w:rsidR="00152473" w:rsidRPr="00B742D2">
        <w:rPr>
          <w:sz w:val="16"/>
          <w:szCs w:val="18"/>
        </w:rPr>
        <w:t xml:space="preserve">r, authors may consent to waive </w:t>
      </w:r>
      <w:r w:rsidRPr="00B742D2">
        <w:rPr>
          <w:sz w:val="16"/>
          <w:szCs w:val="18"/>
        </w:rPr>
        <w:t>their moral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1700" w14:textId="787B3AF2" w:rsidR="00BB1AA1" w:rsidRDefault="00BB1AA1">
    <w:pPr>
      <w:pStyle w:val="Header"/>
    </w:pPr>
    <w:r>
      <w:rPr>
        <w:noProof/>
      </w:rPr>
      <mc:AlternateContent>
        <mc:Choice Requires="wps">
          <w:drawing>
            <wp:anchor distT="0" distB="0" distL="0" distR="0" simplePos="0" relativeHeight="251661312" behindDoc="0" locked="0" layoutInCell="1" allowOverlap="1" wp14:anchorId="2A915239" wp14:editId="470C95AC">
              <wp:simplePos x="635" y="635"/>
              <wp:positionH relativeFrom="page">
                <wp:align>center</wp:align>
              </wp:positionH>
              <wp:positionV relativeFrom="page">
                <wp:align>top</wp:align>
              </wp:positionV>
              <wp:extent cx="443865" cy="443865"/>
              <wp:effectExtent l="0" t="0" r="635" b="889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CB7988" w14:textId="28024048" w:rsidR="00BB1AA1" w:rsidRPr="00BB1AA1" w:rsidRDefault="00BB1AA1" w:rsidP="00BB1AA1">
                          <w:pPr>
                            <w:spacing w:after="0"/>
                            <w:rPr>
                              <w:rFonts w:ascii="Calibri" w:eastAsia="Calibri" w:hAnsi="Calibri" w:cs="Calibri"/>
                              <w:noProof/>
                              <w:color w:val="000000"/>
                              <w:sz w:val="24"/>
                              <w:szCs w:val="24"/>
                            </w:rPr>
                          </w:pPr>
                          <w:r w:rsidRPr="00BB1AA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915239" id="_x0000_t202" coordsize="21600,21600" o:spt="202" path="m,l,21600r21600,l21600,xe">
              <v:stroke joinstyle="miter"/>
              <v:path gradientshapeok="t" o:connecttype="rect"/>
            </v:shapetype>
            <v:shape id="Text Box 4" o:spid="_x0000_s1026"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CB7988" w14:textId="28024048" w:rsidR="00BB1AA1" w:rsidRPr="00BB1AA1" w:rsidRDefault="00BB1AA1" w:rsidP="00BB1AA1">
                    <w:pPr>
                      <w:spacing w:after="0"/>
                      <w:rPr>
                        <w:rFonts w:ascii="Calibri" w:eastAsia="Calibri" w:hAnsi="Calibri" w:cs="Calibri"/>
                        <w:noProof/>
                        <w:color w:val="000000"/>
                        <w:sz w:val="24"/>
                        <w:szCs w:val="24"/>
                      </w:rPr>
                    </w:pPr>
                    <w:r w:rsidRPr="00BB1AA1">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6891" w14:textId="7D159FAF" w:rsidR="006D642E" w:rsidRPr="000224AB" w:rsidRDefault="00BB1AA1" w:rsidP="000224AB">
    <w:pPr>
      <w:pStyle w:val="Footer"/>
      <w:pBdr>
        <w:top w:val="single" w:sz="6" w:space="0" w:color="auto"/>
        <w:left w:val="single" w:sz="6" w:space="0" w:color="auto"/>
        <w:bottom w:val="single" w:sz="6" w:space="0" w:color="auto"/>
        <w:right w:val="single" w:sz="6" w:space="0" w:color="auto"/>
      </w:pBdr>
      <w:shd w:val="solid" w:color="auto" w:fill="auto"/>
      <w:ind w:left="20"/>
      <w:jc w:val="center"/>
      <w:rPr>
        <w:b/>
      </w:rPr>
    </w:pPr>
    <w:r>
      <w:rPr>
        <w:rFonts w:ascii="Arial" w:hAnsi="Arial" w:cs="Arial"/>
        <w:b/>
        <w:noProof/>
        <w:color w:val="FFFFFF"/>
        <w:sz w:val="18"/>
        <w:szCs w:val="18"/>
      </w:rPr>
      <mc:AlternateContent>
        <mc:Choice Requires="wps">
          <w:drawing>
            <wp:anchor distT="0" distB="0" distL="0" distR="0" simplePos="0" relativeHeight="251662336" behindDoc="0" locked="0" layoutInCell="1" allowOverlap="1" wp14:anchorId="419BF954" wp14:editId="1E524F05">
              <wp:simplePos x="689212" y="450376"/>
              <wp:positionH relativeFrom="page">
                <wp:align>center</wp:align>
              </wp:positionH>
              <wp:positionV relativeFrom="page">
                <wp:align>top</wp:align>
              </wp:positionV>
              <wp:extent cx="443865" cy="443865"/>
              <wp:effectExtent l="0" t="0" r="635" b="889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49A40C" w14:textId="6A275B64" w:rsidR="00BB1AA1" w:rsidRPr="00BB1AA1" w:rsidRDefault="00BB1AA1" w:rsidP="00BB1AA1">
                          <w:pPr>
                            <w:spacing w:after="0"/>
                            <w:rPr>
                              <w:rFonts w:ascii="Calibri" w:eastAsia="Calibri" w:hAnsi="Calibri" w:cs="Calibri"/>
                              <w:noProof/>
                              <w:color w:val="000000"/>
                              <w:sz w:val="24"/>
                              <w:szCs w:val="24"/>
                            </w:rPr>
                          </w:pPr>
                          <w:r w:rsidRPr="00BB1AA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9BF954"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E49A40C" w14:textId="6A275B64" w:rsidR="00BB1AA1" w:rsidRPr="00BB1AA1" w:rsidRDefault="00BB1AA1" w:rsidP="00BB1AA1">
                    <w:pPr>
                      <w:spacing w:after="0"/>
                      <w:rPr>
                        <w:rFonts w:ascii="Calibri" w:eastAsia="Calibri" w:hAnsi="Calibri" w:cs="Calibri"/>
                        <w:noProof/>
                        <w:color w:val="000000"/>
                        <w:sz w:val="24"/>
                        <w:szCs w:val="24"/>
                      </w:rPr>
                    </w:pPr>
                    <w:r w:rsidRPr="00BB1AA1">
                      <w:rPr>
                        <w:rFonts w:ascii="Calibri" w:eastAsia="Calibri" w:hAnsi="Calibri" w:cs="Calibri"/>
                        <w:noProof/>
                        <w:color w:val="000000"/>
                        <w:sz w:val="24"/>
                        <w:szCs w:val="24"/>
                      </w:rPr>
                      <w:t>OFFICIAL</w:t>
                    </w:r>
                  </w:p>
                </w:txbxContent>
              </v:textbox>
              <w10:wrap anchorx="page" anchory="page"/>
            </v:shape>
          </w:pict>
        </mc:Fallback>
      </mc:AlternateContent>
    </w:r>
    <w:r w:rsidR="000224AB" w:rsidRPr="000224AB">
      <w:rPr>
        <w:rFonts w:ascii="Arial" w:hAnsi="Arial" w:cs="Arial"/>
        <w:b/>
        <w:color w:val="FFFFFF"/>
        <w:sz w:val="18"/>
        <w:szCs w:val="18"/>
      </w:rPr>
      <w:t>QPS</w:t>
    </w:r>
    <w:r w:rsidR="009F78C8">
      <w:rPr>
        <w:rFonts w:ascii="Arial" w:hAnsi="Arial" w:cs="Arial"/>
        <w:b/>
        <w:color w:val="FFFFFF"/>
        <w:sz w:val="18"/>
        <w:szCs w:val="18"/>
      </w:rPr>
      <w:t>RC</w:t>
    </w:r>
    <w:r w:rsidR="00DD68AD">
      <w:rPr>
        <w:rFonts w:ascii="Arial" w:hAnsi="Arial" w:cs="Arial"/>
        <w:b/>
        <w:color w:val="FFFFFF"/>
        <w:sz w:val="18"/>
        <w:szCs w:val="18"/>
      </w:rPr>
      <w:t xml:space="preserve"> </w:t>
    </w:r>
    <w:r w:rsidR="000224AB" w:rsidRPr="000224AB">
      <w:rPr>
        <w:rFonts w:ascii="Arial" w:hAnsi="Arial" w:cs="Arial"/>
        <w:b/>
        <w:color w:val="FFFFFF"/>
        <w:sz w:val="18"/>
        <w:szCs w:val="18"/>
      </w:rPr>
      <w:t>TERMS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7034"/>
      <w:gridCol w:w="1356"/>
    </w:tblGrid>
    <w:tr w:rsidR="003A0370" w14:paraId="5C1A3694" w14:textId="77777777" w:rsidTr="00F743B4">
      <w:trPr>
        <w:trHeight w:val="1125"/>
      </w:trPr>
      <w:tc>
        <w:tcPr>
          <w:tcW w:w="1356" w:type="dxa"/>
        </w:tcPr>
        <w:p w14:paraId="21BB77CB" w14:textId="4CA43B9A" w:rsidR="003A0370" w:rsidRDefault="00C1515F" w:rsidP="003A0370">
          <w:r w:rsidRPr="000D5253">
            <w:rPr>
              <w:rFonts w:ascii="Times New Roman" w:hAnsi="Times New Roman"/>
              <w:noProof/>
              <w:color w:val="0000FF"/>
              <w:lang w:eastAsia="en-AU"/>
            </w:rPr>
            <w:drawing>
              <wp:inline distT="0" distB="0" distL="0" distR="0" wp14:anchorId="683231F8" wp14:editId="538F6DDE">
                <wp:extent cx="715010" cy="922655"/>
                <wp:effectExtent l="0" t="0" r="8890" b="0"/>
                <wp:docPr id="1" name="Picture 1"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 cy="922655"/>
                        </a:xfrm>
                        <a:prstGeom prst="rect">
                          <a:avLst/>
                        </a:prstGeom>
                        <a:noFill/>
                        <a:ln>
                          <a:noFill/>
                        </a:ln>
                      </pic:spPr>
                    </pic:pic>
                  </a:graphicData>
                </a:graphic>
              </wp:inline>
            </w:drawing>
          </w:r>
        </w:p>
      </w:tc>
      <w:tc>
        <w:tcPr>
          <w:tcW w:w="7034" w:type="dxa"/>
        </w:tcPr>
        <w:p w14:paraId="2FEF7C04" w14:textId="77777777" w:rsidR="003A0370" w:rsidRDefault="00C1515F" w:rsidP="003A0370">
          <w:pPr>
            <w:jc w:val="center"/>
            <w:rPr>
              <w:rFonts w:ascii="Arial" w:hAnsi="Arial" w:cs="Arial"/>
              <w:b/>
              <w:sz w:val="28"/>
              <w:szCs w:val="28"/>
            </w:rPr>
          </w:pPr>
          <w:r w:rsidRPr="00045C75">
            <w:rPr>
              <w:rFonts w:ascii="Arial" w:hAnsi="Arial" w:cs="Arial"/>
              <w:b/>
              <w:sz w:val="28"/>
              <w:szCs w:val="28"/>
            </w:rPr>
            <w:t xml:space="preserve">QUEENSLAND POLICE SERVICE </w:t>
          </w:r>
        </w:p>
        <w:p w14:paraId="1175740E" w14:textId="7099CEF2" w:rsidR="003A0370" w:rsidRDefault="00C1515F" w:rsidP="003A0370">
          <w:pPr>
            <w:jc w:val="center"/>
            <w:rPr>
              <w:rFonts w:ascii="Arial" w:hAnsi="Arial" w:cs="Arial"/>
              <w:b/>
              <w:sz w:val="28"/>
              <w:szCs w:val="28"/>
            </w:rPr>
          </w:pPr>
          <w:r w:rsidRPr="00045C75">
            <w:rPr>
              <w:rFonts w:ascii="Arial" w:hAnsi="Arial" w:cs="Arial"/>
              <w:b/>
              <w:sz w:val="28"/>
              <w:szCs w:val="28"/>
            </w:rPr>
            <w:t>RESEARCH COMMITTEE</w:t>
          </w:r>
          <w:r w:rsidR="00F279D2">
            <w:rPr>
              <w:rFonts w:ascii="Arial" w:hAnsi="Arial" w:cs="Arial"/>
              <w:b/>
              <w:sz w:val="28"/>
              <w:szCs w:val="28"/>
            </w:rPr>
            <w:t xml:space="preserve"> (QPSRC)</w:t>
          </w:r>
        </w:p>
        <w:p w14:paraId="61F20551" w14:textId="77777777" w:rsidR="003A0370" w:rsidRDefault="00000000" w:rsidP="003A0370">
          <w:pPr>
            <w:jc w:val="center"/>
            <w:rPr>
              <w:rFonts w:ascii="Arial" w:hAnsi="Arial" w:cs="Arial"/>
              <w:b/>
              <w:sz w:val="28"/>
              <w:szCs w:val="28"/>
            </w:rPr>
          </w:pPr>
        </w:p>
        <w:p w14:paraId="1CC2D22A" w14:textId="77777777" w:rsidR="003A0370" w:rsidRPr="007703F1" w:rsidRDefault="00C1515F" w:rsidP="003A0370">
          <w:pPr>
            <w:jc w:val="center"/>
            <w:rPr>
              <w:rFonts w:ascii="Arial" w:hAnsi="Arial" w:cs="Arial"/>
              <w:b/>
              <w:sz w:val="28"/>
              <w:szCs w:val="28"/>
            </w:rPr>
          </w:pPr>
          <w:r>
            <w:rPr>
              <w:rFonts w:ascii="Arial" w:hAnsi="Arial" w:cs="Arial"/>
              <w:b/>
              <w:sz w:val="28"/>
              <w:szCs w:val="28"/>
            </w:rPr>
            <w:t>TERMS OF REFERENCE</w:t>
          </w:r>
        </w:p>
      </w:tc>
      <w:tc>
        <w:tcPr>
          <w:tcW w:w="1356" w:type="dxa"/>
        </w:tcPr>
        <w:p w14:paraId="790551A6" w14:textId="77777777" w:rsidR="003A0370" w:rsidRDefault="00C1515F" w:rsidP="003A0370">
          <w:r w:rsidRPr="000D5253">
            <w:rPr>
              <w:rFonts w:ascii="Times New Roman" w:hAnsi="Times New Roman"/>
              <w:noProof/>
              <w:color w:val="0000FF"/>
              <w:lang w:eastAsia="en-AU"/>
            </w:rPr>
            <w:drawing>
              <wp:anchor distT="0" distB="0" distL="114300" distR="114300" simplePos="0" relativeHeight="251659264" behindDoc="0" locked="0" layoutInCell="1" allowOverlap="1" wp14:anchorId="56AAE3C0" wp14:editId="4076BF35">
                <wp:simplePos x="0" y="0"/>
                <wp:positionH relativeFrom="column">
                  <wp:posOffset>1265555</wp:posOffset>
                </wp:positionH>
                <wp:positionV relativeFrom="paragraph">
                  <wp:posOffset>0</wp:posOffset>
                </wp:positionV>
                <wp:extent cx="723265" cy="656590"/>
                <wp:effectExtent l="0" t="0" r="635"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656590"/>
                        </a:xfrm>
                        <a:prstGeom prst="rect">
                          <a:avLst/>
                        </a:prstGeom>
                        <a:noFill/>
                        <a:ln>
                          <a:noFill/>
                        </a:ln>
                      </pic:spPr>
                    </pic:pic>
                  </a:graphicData>
                </a:graphic>
              </wp:anchor>
            </w:drawing>
          </w:r>
        </w:p>
      </w:tc>
    </w:tr>
  </w:tbl>
  <w:p w14:paraId="74ACAD8B" w14:textId="77777777" w:rsidR="003A0370" w:rsidRPr="00996889" w:rsidRDefault="00000000" w:rsidP="00996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F8E2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2CFD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E6DE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6C8B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EC6D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2A1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AC37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680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1EEE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04D9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1373A4"/>
    <w:multiLevelType w:val="hybridMultilevel"/>
    <w:tmpl w:val="37CE532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35D5724F"/>
    <w:multiLevelType w:val="hybridMultilevel"/>
    <w:tmpl w:val="5AC2565C"/>
    <w:lvl w:ilvl="0" w:tplc="F87C725A">
      <w:numFmt w:val="bullet"/>
      <w:lvlText w:val="•"/>
      <w:lvlJc w:val="left"/>
      <w:pPr>
        <w:ind w:left="1932" w:hanging="360"/>
      </w:pPr>
      <w:rPr>
        <w:rFonts w:ascii="Calibri" w:eastAsiaTheme="minorHAnsi" w:hAnsi="Calibri" w:cs="Calibri" w:hint="default"/>
      </w:rPr>
    </w:lvl>
    <w:lvl w:ilvl="1" w:tplc="0C090003" w:tentative="1">
      <w:start w:val="1"/>
      <w:numFmt w:val="bullet"/>
      <w:lvlText w:val="o"/>
      <w:lvlJc w:val="left"/>
      <w:pPr>
        <w:ind w:left="2652" w:hanging="360"/>
      </w:pPr>
      <w:rPr>
        <w:rFonts w:ascii="Courier New" w:hAnsi="Courier New" w:cs="Courier New" w:hint="default"/>
      </w:rPr>
    </w:lvl>
    <w:lvl w:ilvl="2" w:tplc="0C090005" w:tentative="1">
      <w:start w:val="1"/>
      <w:numFmt w:val="bullet"/>
      <w:lvlText w:val=""/>
      <w:lvlJc w:val="left"/>
      <w:pPr>
        <w:ind w:left="3372" w:hanging="360"/>
      </w:pPr>
      <w:rPr>
        <w:rFonts w:ascii="Wingdings" w:hAnsi="Wingdings" w:hint="default"/>
      </w:rPr>
    </w:lvl>
    <w:lvl w:ilvl="3" w:tplc="0C090001" w:tentative="1">
      <w:start w:val="1"/>
      <w:numFmt w:val="bullet"/>
      <w:lvlText w:val=""/>
      <w:lvlJc w:val="left"/>
      <w:pPr>
        <w:ind w:left="4092" w:hanging="360"/>
      </w:pPr>
      <w:rPr>
        <w:rFonts w:ascii="Symbol" w:hAnsi="Symbol" w:hint="default"/>
      </w:rPr>
    </w:lvl>
    <w:lvl w:ilvl="4" w:tplc="0C090003" w:tentative="1">
      <w:start w:val="1"/>
      <w:numFmt w:val="bullet"/>
      <w:lvlText w:val="o"/>
      <w:lvlJc w:val="left"/>
      <w:pPr>
        <w:ind w:left="4812" w:hanging="360"/>
      </w:pPr>
      <w:rPr>
        <w:rFonts w:ascii="Courier New" w:hAnsi="Courier New" w:cs="Courier New" w:hint="default"/>
      </w:rPr>
    </w:lvl>
    <w:lvl w:ilvl="5" w:tplc="0C090005" w:tentative="1">
      <w:start w:val="1"/>
      <w:numFmt w:val="bullet"/>
      <w:lvlText w:val=""/>
      <w:lvlJc w:val="left"/>
      <w:pPr>
        <w:ind w:left="5532" w:hanging="360"/>
      </w:pPr>
      <w:rPr>
        <w:rFonts w:ascii="Wingdings" w:hAnsi="Wingdings" w:hint="default"/>
      </w:rPr>
    </w:lvl>
    <w:lvl w:ilvl="6" w:tplc="0C090001" w:tentative="1">
      <w:start w:val="1"/>
      <w:numFmt w:val="bullet"/>
      <w:lvlText w:val=""/>
      <w:lvlJc w:val="left"/>
      <w:pPr>
        <w:ind w:left="6252" w:hanging="360"/>
      </w:pPr>
      <w:rPr>
        <w:rFonts w:ascii="Symbol" w:hAnsi="Symbol" w:hint="default"/>
      </w:rPr>
    </w:lvl>
    <w:lvl w:ilvl="7" w:tplc="0C090003" w:tentative="1">
      <w:start w:val="1"/>
      <w:numFmt w:val="bullet"/>
      <w:lvlText w:val="o"/>
      <w:lvlJc w:val="left"/>
      <w:pPr>
        <w:ind w:left="6972" w:hanging="360"/>
      </w:pPr>
      <w:rPr>
        <w:rFonts w:ascii="Courier New" w:hAnsi="Courier New" w:cs="Courier New" w:hint="default"/>
      </w:rPr>
    </w:lvl>
    <w:lvl w:ilvl="8" w:tplc="0C090005" w:tentative="1">
      <w:start w:val="1"/>
      <w:numFmt w:val="bullet"/>
      <w:lvlText w:val=""/>
      <w:lvlJc w:val="left"/>
      <w:pPr>
        <w:ind w:left="7692" w:hanging="360"/>
      </w:pPr>
      <w:rPr>
        <w:rFonts w:ascii="Wingdings" w:hAnsi="Wingdings" w:hint="default"/>
      </w:rPr>
    </w:lvl>
  </w:abstractNum>
  <w:abstractNum w:abstractNumId="12" w15:restartNumberingAfterBreak="0">
    <w:nsid w:val="3B4B7A1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8633776"/>
    <w:multiLevelType w:val="hybridMultilevel"/>
    <w:tmpl w:val="428A1B80"/>
    <w:lvl w:ilvl="0" w:tplc="82243272">
      <w:start w:val="1"/>
      <w:numFmt w:val="decimal"/>
      <w:pStyle w:val="ListNumber"/>
      <w:lvlText w:val="%1."/>
      <w:lvlJc w:val="left"/>
      <w:pPr>
        <w:ind w:left="502"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941B48"/>
    <w:multiLevelType w:val="hybridMultilevel"/>
    <w:tmpl w:val="DA6C1FF4"/>
    <w:lvl w:ilvl="0" w:tplc="4548316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E75FCF"/>
    <w:multiLevelType w:val="hybridMultilevel"/>
    <w:tmpl w:val="9F561B00"/>
    <w:lvl w:ilvl="0" w:tplc="21E6013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1885DED"/>
    <w:multiLevelType w:val="hybridMultilevel"/>
    <w:tmpl w:val="251AC87E"/>
    <w:lvl w:ilvl="0" w:tplc="7360CB9A">
      <w:start w:val="1"/>
      <w:numFmt w:val="bullet"/>
      <w:pStyle w:val="Lis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E96CE2"/>
    <w:multiLevelType w:val="hybridMultilevel"/>
    <w:tmpl w:val="E4FE80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73DD2AFC"/>
    <w:multiLevelType w:val="hybridMultilevel"/>
    <w:tmpl w:val="85022DA4"/>
    <w:lvl w:ilvl="0" w:tplc="6BCCD178">
      <w:start w:val="1"/>
      <w:numFmt w:val="bullet"/>
      <w:lvlText w:val="•"/>
      <w:lvlJc w:val="left"/>
      <w:pPr>
        <w:ind w:left="228" w:hanging="228"/>
      </w:pPr>
      <w:rPr>
        <w:rFonts w:ascii="Arial" w:eastAsia="Arial" w:hAnsi="Arial" w:cs="Arial" w:hint="default"/>
        <w:w w:val="100"/>
        <w:sz w:val="22"/>
        <w:szCs w:val="22"/>
      </w:rPr>
    </w:lvl>
    <w:lvl w:ilvl="1" w:tplc="5DC24440">
      <w:start w:val="1"/>
      <w:numFmt w:val="bullet"/>
      <w:lvlText w:val="•"/>
      <w:lvlJc w:val="left"/>
      <w:pPr>
        <w:ind w:left="1152" w:hanging="228"/>
      </w:pPr>
      <w:rPr>
        <w:rFonts w:hint="default"/>
      </w:rPr>
    </w:lvl>
    <w:lvl w:ilvl="2" w:tplc="BA04E0B4">
      <w:start w:val="1"/>
      <w:numFmt w:val="bullet"/>
      <w:lvlText w:val="•"/>
      <w:lvlJc w:val="left"/>
      <w:pPr>
        <w:ind w:left="2068" w:hanging="228"/>
      </w:pPr>
      <w:rPr>
        <w:rFonts w:hint="default"/>
      </w:rPr>
    </w:lvl>
    <w:lvl w:ilvl="3" w:tplc="F7B462EA">
      <w:start w:val="1"/>
      <w:numFmt w:val="bullet"/>
      <w:lvlText w:val="•"/>
      <w:lvlJc w:val="left"/>
      <w:pPr>
        <w:ind w:left="2984" w:hanging="228"/>
      </w:pPr>
      <w:rPr>
        <w:rFonts w:hint="default"/>
      </w:rPr>
    </w:lvl>
    <w:lvl w:ilvl="4" w:tplc="2286B044">
      <w:start w:val="1"/>
      <w:numFmt w:val="bullet"/>
      <w:lvlText w:val="•"/>
      <w:lvlJc w:val="left"/>
      <w:pPr>
        <w:ind w:left="3900" w:hanging="228"/>
      </w:pPr>
      <w:rPr>
        <w:rFonts w:hint="default"/>
      </w:rPr>
    </w:lvl>
    <w:lvl w:ilvl="5" w:tplc="D1369C3A">
      <w:start w:val="1"/>
      <w:numFmt w:val="bullet"/>
      <w:lvlText w:val="•"/>
      <w:lvlJc w:val="left"/>
      <w:pPr>
        <w:ind w:left="4816" w:hanging="228"/>
      </w:pPr>
      <w:rPr>
        <w:rFonts w:hint="default"/>
      </w:rPr>
    </w:lvl>
    <w:lvl w:ilvl="6" w:tplc="F4F4E898">
      <w:start w:val="1"/>
      <w:numFmt w:val="bullet"/>
      <w:lvlText w:val="•"/>
      <w:lvlJc w:val="left"/>
      <w:pPr>
        <w:ind w:left="5732" w:hanging="228"/>
      </w:pPr>
      <w:rPr>
        <w:rFonts w:hint="default"/>
      </w:rPr>
    </w:lvl>
    <w:lvl w:ilvl="7" w:tplc="C9988510">
      <w:start w:val="1"/>
      <w:numFmt w:val="bullet"/>
      <w:lvlText w:val="•"/>
      <w:lvlJc w:val="left"/>
      <w:pPr>
        <w:ind w:left="6648" w:hanging="228"/>
      </w:pPr>
      <w:rPr>
        <w:rFonts w:hint="default"/>
      </w:rPr>
    </w:lvl>
    <w:lvl w:ilvl="8" w:tplc="2DC2F7B0">
      <w:start w:val="1"/>
      <w:numFmt w:val="bullet"/>
      <w:lvlText w:val="•"/>
      <w:lvlJc w:val="left"/>
      <w:pPr>
        <w:ind w:left="7564" w:hanging="228"/>
      </w:pPr>
      <w:rPr>
        <w:rFonts w:hint="default"/>
      </w:rPr>
    </w:lvl>
  </w:abstractNum>
  <w:num w:numId="1" w16cid:durableId="1208033823">
    <w:abstractNumId w:val="18"/>
  </w:num>
  <w:num w:numId="2" w16cid:durableId="713388187">
    <w:abstractNumId w:val="17"/>
  </w:num>
  <w:num w:numId="3" w16cid:durableId="1706179933">
    <w:abstractNumId w:val="10"/>
  </w:num>
  <w:num w:numId="4" w16cid:durableId="641034222">
    <w:abstractNumId w:val="11"/>
  </w:num>
  <w:num w:numId="5" w16cid:durableId="27606314">
    <w:abstractNumId w:val="16"/>
  </w:num>
  <w:num w:numId="6" w16cid:durableId="1789086857">
    <w:abstractNumId w:val="9"/>
  </w:num>
  <w:num w:numId="7" w16cid:durableId="477919392">
    <w:abstractNumId w:val="7"/>
  </w:num>
  <w:num w:numId="8" w16cid:durableId="1105005337">
    <w:abstractNumId w:val="6"/>
  </w:num>
  <w:num w:numId="9" w16cid:durableId="1974561304">
    <w:abstractNumId w:val="5"/>
  </w:num>
  <w:num w:numId="10" w16cid:durableId="1278873372">
    <w:abstractNumId w:val="4"/>
  </w:num>
  <w:num w:numId="11" w16cid:durableId="1966813044">
    <w:abstractNumId w:val="8"/>
  </w:num>
  <w:num w:numId="12" w16cid:durableId="787894378">
    <w:abstractNumId w:val="3"/>
  </w:num>
  <w:num w:numId="13" w16cid:durableId="1259407596">
    <w:abstractNumId w:val="2"/>
  </w:num>
  <w:num w:numId="14" w16cid:durableId="2005425563">
    <w:abstractNumId w:val="14"/>
  </w:num>
  <w:num w:numId="15" w16cid:durableId="1952934261">
    <w:abstractNumId w:val="1"/>
  </w:num>
  <w:num w:numId="16" w16cid:durableId="349530759">
    <w:abstractNumId w:val="0"/>
  </w:num>
  <w:num w:numId="17" w16cid:durableId="641470587">
    <w:abstractNumId w:val="16"/>
  </w:num>
  <w:num w:numId="18" w16cid:durableId="1346594480">
    <w:abstractNumId w:val="13"/>
  </w:num>
  <w:num w:numId="19" w16cid:durableId="1421486493">
    <w:abstractNumId w:val="15"/>
  </w:num>
  <w:num w:numId="20" w16cid:durableId="13351821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72ZFRKQQ6Ikz1hfnvboczzJtmpe8qcHIi8YMcjtncwZ5uYzTi44rhUVkDp9EVWak/6l1trgq83NGuKqixnVM2w==" w:salt="NzXqdKeFao7LYnrcPlya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B3"/>
    <w:rsid w:val="000224AB"/>
    <w:rsid w:val="000264FD"/>
    <w:rsid w:val="00047981"/>
    <w:rsid w:val="00050DD7"/>
    <w:rsid w:val="00074856"/>
    <w:rsid w:val="00082420"/>
    <w:rsid w:val="000852B5"/>
    <w:rsid w:val="00086C2D"/>
    <w:rsid w:val="0009404E"/>
    <w:rsid w:val="000D0AD5"/>
    <w:rsid w:val="000E24E8"/>
    <w:rsid w:val="00127BD6"/>
    <w:rsid w:val="00131275"/>
    <w:rsid w:val="00152473"/>
    <w:rsid w:val="0019289D"/>
    <w:rsid w:val="001A1C4B"/>
    <w:rsid w:val="001A51C5"/>
    <w:rsid w:val="001B1E78"/>
    <w:rsid w:val="001B6580"/>
    <w:rsid w:val="001C11D5"/>
    <w:rsid w:val="001E0049"/>
    <w:rsid w:val="001E071F"/>
    <w:rsid w:val="002222F0"/>
    <w:rsid w:val="002503AD"/>
    <w:rsid w:val="002561EC"/>
    <w:rsid w:val="00261657"/>
    <w:rsid w:val="0026782D"/>
    <w:rsid w:val="002B0DD8"/>
    <w:rsid w:val="002B553A"/>
    <w:rsid w:val="002D717F"/>
    <w:rsid w:val="00300B92"/>
    <w:rsid w:val="0033783E"/>
    <w:rsid w:val="00386B1E"/>
    <w:rsid w:val="00393FE1"/>
    <w:rsid w:val="003B5847"/>
    <w:rsid w:val="003C5221"/>
    <w:rsid w:val="003D6186"/>
    <w:rsid w:val="003E6DEB"/>
    <w:rsid w:val="003F4CA5"/>
    <w:rsid w:val="0040214B"/>
    <w:rsid w:val="00405B40"/>
    <w:rsid w:val="004261A7"/>
    <w:rsid w:val="00446298"/>
    <w:rsid w:val="0044710F"/>
    <w:rsid w:val="00471BE8"/>
    <w:rsid w:val="00486CF1"/>
    <w:rsid w:val="004A3BC4"/>
    <w:rsid w:val="004B7528"/>
    <w:rsid w:val="004C2EC3"/>
    <w:rsid w:val="004D2F8F"/>
    <w:rsid w:val="004F714B"/>
    <w:rsid w:val="00512EA0"/>
    <w:rsid w:val="00525401"/>
    <w:rsid w:val="0054017D"/>
    <w:rsid w:val="00557E94"/>
    <w:rsid w:val="00587348"/>
    <w:rsid w:val="005A3B77"/>
    <w:rsid w:val="005C2C17"/>
    <w:rsid w:val="005D7552"/>
    <w:rsid w:val="005E3F03"/>
    <w:rsid w:val="005F337C"/>
    <w:rsid w:val="00614916"/>
    <w:rsid w:val="00631A09"/>
    <w:rsid w:val="00635CE7"/>
    <w:rsid w:val="0067376E"/>
    <w:rsid w:val="006A1976"/>
    <w:rsid w:val="006B510D"/>
    <w:rsid w:val="00717D91"/>
    <w:rsid w:val="007254D0"/>
    <w:rsid w:val="00763A59"/>
    <w:rsid w:val="0076797B"/>
    <w:rsid w:val="007B269B"/>
    <w:rsid w:val="007B43EC"/>
    <w:rsid w:val="007C0D01"/>
    <w:rsid w:val="007F1B07"/>
    <w:rsid w:val="008046B9"/>
    <w:rsid w:val="00814105"/>
    <w:rsid w:val="0081777A"/>
    <w:rsid w:val="00853884"/>
    <w:rsid w:val="00866836"/>
    <w:rsid w:val="00871715"/>
    <w:rsid w:val="00874049"/>
    <w:rsid w:val="008834DB"/>
    <w:rsid w:val="00885B69"/>
    <w:rsid w:val="00887045"/>
    <w:rsid w:val="0093520A"/>
    <w:rsid w:val="00977EE3"/>
    <w:rsid w:val="00996889"/>
    <w:rsid w:val="009B132F"/>
    <w:rsid w:val="009C071F"/>
    <w:rsid w:val="009F78C8"/>
    <w:rsid w:val="00A3532D"/>
    <w:rsid w:val="00A666EA"/>
    <w:rsid w:val="00A9505A"/>
    <w:rsid w:val="00AB1A5C"/>
    <w:rsid w:val="00AB6657"/>
    <w:rsid w:val="00AC0A87"/>
    <w:rsid w:val="00AD1080"/>
    <w:rsid w:val="00AD1995"/>
    <w:rsid w:val="00AE46D5"/>
    <w:rsid w:val="00B013DC"/>
    <w:rsid w:val="00B02AB1"/>
    <w:rsid w:val="00B06CD4"/>
    <w:rsid w:val="00B11A2C"/>
    <w:rsid w:val="00B34FBE"/>
    <w:rsid w:val="00B719AC"/>
    <w:rsid w:val="00B742D2"/>
    <w:rsid w:val="00BA3CC3"/>
    <w:rsid w:val="00BB1AA1"/>
    <w:rsid w:val="00BC3CE9"/>
    <w:rsid w:val="00BC42D1"/>
    <w:rsid w:val="00BD72AE"/>
    <w:rsid w:val="00C1337D"/>
    <w:rsid w:val="00C1515F"/>
    <w:rsid w:val="00C51A97"/>
    <w:rsid w:val="00C76D76"/>
    <w:rsid w:val="00CD338B"/>
    <w:rsid w:val="00CD352F"/>
    <w:rsid w:val="00CE0139"/>
    <w:rsid w:val="00CE5B5F"/>
    <w:rsid w:val="00D05660"/>
    <w:rsid w:val="00D07E86"/>
    <w:rsid w:val="00D825A0"/>
    <w:rsid w:val="00DC4376"/>
    <w:rsid w:val="00DD68AD"/>
    <w:rsid w:val="00DE5D9C"/>
    <w:rsid w:val="00DE6F07"/>
    <w:rsid w:val="00DF44D2"/>
    <w:rsid w:val="00E06DE9"/>
    <w:rsid w:val="00E12A4F"/>
    <w:rsid w:val="00E23D2D"/>
    <w:rsid w:val="00E534CA"/>
    <w:rsid w:val="00E633B9"/>
    <w:rsid w:val="00E72CC6"/>
    <w:rsid w:val="00E74D56"/>
    <w:rsid w:val="00E80254"/>
    <w:rsid w:val="00EB7F4D"/>
    <w:rsid w:val="00EC4FB3"/>
    <w:rsid w:val="00ED3D7B"/>
    <w:rsid w:val="00ED5D20"/>
    <w:rsid w:val="00F0583C"/>
    <w:rsid w:val="00F279D2"/>
    <w:rsid w:val="00F47A55"/>
    <w:rsid w:val="00F52611"/>
    <w:rsid w:val="00F6138F"/>
    <w:rsid w:val="00F70EA2"/>
    <w:rsid w:val="00F743B4"/>
    <w:rsid w:val="00FA52BF"/>
    <w:rsid w:val="00FB0E6B"/>
    <w:rsid w:val="00FC4E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8A2BA"/>
  <w15:chartTrackingRefBased/>
  <w15:docId w15:val="{80729ADB-A667-4509-8014-9E1F50D0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D20"/>
  </w:style>
  <w:style w:type="paragraph" w:styleId="Heading1">
    <w:name w:val="heading 1"/>
    <w:basedOn w:val="Normal"/>
    <w:link w:val="Heading1Char"/>
    <w:uiPriority w:val="1"/>
    <w:qFormat/>
    <w:rsid w:val="00ED5D20"/>
    <w:pPr>
      <w:keepNext/>
      <w:widowControl w:val="0"/>
      <w:numPr>
        <w:numId w:val="20"/>
      </w:numPr>
      <w:spacing w:before="120" w:after="40" w:line="240" w:lineRule="auto"/>
      <w:ind w:right="28"/>
      <w:outlineLvl w:val="0"/>
    </w:pPr>
    <w:rPr>
      <w:rFonts w:ascii="Arial" w:eastAsia="Arial" w:hAnsi="Arial" w:cs="Arial"/>
      <w:b/>
      <w:bCs/>
      <w:sz w:val="24"/>
      <w:szCs w:val="26"/>
      <w:u w:val="single" w:color="000000"/>
      <w:lang w:val="en-US"/>
    </w:rPr>
  </w:style>
  <w:style w:type="paragraph" w:styleId="Heading2">
    <w:name w:val="heading 2"/>
    <w:basedOn w:val="BodyText"/>
    <w:next w:val="Normal"/>
    <w:link w:val="Heading2Char"/>
    <w:uiPriority w:val="9"/>
    <w:unhideWhenUsed/>
    <w:qFormat/>
    <w:rsid w:val="00A666EA"/>
    <w:pPr>
      <w:keepNext/>
      <w:numPr>
        <w:ilvl w:val="1"/>
        <w:numId w:val="20"/>
      </w:numPr>
      <w:spacing w:before="120" w:after="0"/>
      <w:outlineLvl w:val="1"/>
    </w:pPr>
    <w:rPr>
      <w:b/>
    </w:rPr>
  </w:style>
  <w:style w:type="paragraph" w:styleId="Heading3">
    <w:name w:val="heading 3"/>
    <w:basedOn w:val="Normal"/>
    <w:next w:val="Normal"/>
    <w:link w:val="Heading3Char"/>
    <w:uiPriority w:val="9"/>
    <w:semiHidden/>
    <w:unhideWhenUsed/>
    <w:qFormat/>
    <w:rsid w:val="00F52611"/>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52611"/>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52611"/>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52611"/>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52611"/>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52611"/>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2611"/>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D20"/>
    <w:rPr>
      <w:rFonts w:ascii="Arial" w:eastAsia="Arial" w:hAnsi="Arial" w:cs="Arial"/>
      <w:b/>
      <w:bCs/>
      <w:sz w:val="24"/>
      <w:szCs w:val="26"/>
      <w:u w:val="single" w:color="000000"/>
      <w:lang w:val="en-US"/>
    </w:rPr>
  </w:style>
  <w:style w:type="character" w:customStyle="1" w:styleId="Heading2Char">
    <w:name w:val="Heading 2 Char"/>
    <w:basedOn w:val="DefaultParagraphFont"/>
    <w:link w:val="Heading2"/>
    <w:uiPriority w:val="9"/>
    <w:rsid w:val="00A666EA"/>
    <w:rPr>
      <w:rFonts w:ascii="Arial" w:eastAsia="Arial" w:hAnsi="Arial" w:cs="Arial"/>
      <w:b/>
      <w:szCs w:val="24"/>
      <w:lang w:val="en-US"/>
    </w:rPr>
  </w:style>
  <w:style w:type="paragraph" w:styleId="Header">
    <w:name w:val="header"/>
    <w:basedOn w:val="Normal"/>
    <w:link w:val="HeaderChar"/>
    <w:uiPriority w:val="99"/>
    <w:unhideWhenUsed/>
    <w:rsid w:val="00EC4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FB3"/>
  </w:style>
  <w:style w:type="paragraph" w:styleId="Footer">
    <w:name w:val="footer"/>
    <w:basedOn w:val="Normal"/>
    <w:link w:val="FooterChar"/>
    <w:uiPriority w:val="99"/>
    <w:unhideWhenUsed/>
    <w:rsid w:val="00EC4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FB3"/>
  </w:style>
  <w:style w:type="table" w:styleId="TableGrid">
    <w:name w:val="Table Grid"/>
    <w:basedOn w:val="TableNormal"/>
    <w:uiPriority w:val="39"/>
    <w:rsid w:val="00EC4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E0139"/>
    <w:pPr>
      <w:widowControl w:val="0"/>
      <w:spacing w:after="120" w:line="240" w:lineRule="auto"/>
      <w:jc w:val="both"/>
    </w:pPr>
    <w:rPr>
      <w:rFonts w:ascii="Arial" w:eastAsia="Arial" w:hAnsi="Arial" w:cs="Arial"/>
      <w:szCs w:val="24"/>
      <w:lang w:val="en-US"/>
    </w:rPr>
  </w:style>
  <w:style w:type="character" w:customStyle="1" w:styleId="BodyTextChar">
    <w:name w:val="Body Text Char"/>
    <w:basedOn w:val="DefaultParagraphFont"/>
    <w:link w:val="BodyText"/>
    <w:uiPriority w:val="1"/>
    <w:rsid w:val="00CE0139"/>
    <w:rPr>
      <w:rFonts w:ascii="Arial" w:eastAsia="Arial" w:hAnsi="Arial" w:cs="Arial"/>
      <w:szCs w:val="24"/>
      <w:lang w:val="en-US"/>
    </w:rPr>
  </w:style>
  <w:style w:type="paragraph" w:styleId="ListParagraph">
    <w:name w:val="List Paragraph"/>
    <w:basedOn w:val="Normal"/>
    <w:link w:val="ListParagraphChar"/>
    <w:uiPriority w:val="34"/>
    <w:qFormat/>
    <w:rsid w:val="00EC4FB3"/>
    <w:pPr>
      <w:widowControl w:val="0"/>
      <w:spacing w:before="124" w:after="0" w:line="240" w:lineRule="auto"/>
      <w:ind w:left="852" w:hanging="228"/>
    </w:pPr>
    <w:rPr>
      <w:rFonts w:ascii="Arial" w:eastAsia="Arial" w:hAnsi="Arial" w:cs="Arial"/>
      <w:lang w:val="en-US"/>
    </w:rPr>
  </w:style>
  <w:style w:type="character" w:styleId="CommentReference">
    <w:name w:val="annotation reference"/>
    <w:basedOn w:val="DefaultParagraphFont"/>
    <w:uiPriority w:val="99"/>
    <w:semiHidden/>
    <w:unhideWhenUsed/>
    <w:rsid w:val="00EC4FB3"/>
    <w:rPr>
      <w:sz w:val="16"/>
      <w:szCs w:val="16"/>
    </w:rPr>
  </w:style>
  <w:style w:type="paragraph" w:styleId="CommentText">
    <w:name w:val="annotation text"/>
    <w:basedOn w:val="Normal"/>
    <w:link w:val="CommentTextChar"/>
    <w:uiPriority w:val="99"/>
    <w:unhideWhenUsed/>
    <w:rsid w:val="00EC4FB3"/>
    <w:pPr>
      <w:spacing w:line="240" w:lineRule="auto"/>
    </w:pPr>
    <w:rPr>
      <w:sz w:val="20"/>
      <w:szCs w:val="20"/>
    </w:rPr>
  </w:style>
  <w:style w:type="character" w:customStyle="1" w:styleId="CommentTextChar">
    <w:name w:val="Comment Text Char"/>
    <w:basedOn w:val="DefaultParagraphFont"/>
    <w:link w:val="CommentText"/>
    <w:uiPriority w:val="99"/>
    <w:rsid w:val="00EC4FB3"/>
    <w:rPr>
      <w:sz w:val="20"/>
      <w:szCs w:val="20"/>
    </w:rPr>
  </w:style>
  <w:style w:type="paragraph" w:styleId="BalloonText">
    <w:name w:val="Balloon Text"/>
    <w:basedOn w:val="Normal"/>
    <w:link w:val="BalloonTextChar"/>
    <w:uiPriority w:val="99"/>
    <w:semiHidden/>
    <w:unhideWhenUsed/>
    <w:rsid w:val="00EC4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F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C3CE9"/>
    <w:rPr>
      <w:b/>
      <w:bCs/>
    </w:rPr>
  </w:style>
  <w:style w:type="character" w:customStyle="1" w:styleId="CommentSubjectChar">
    <w:name w:val="Comment Subject Char"/>
    <w:basedOn w:val="CommentTextChar"/>
    <w:link w:val="CommentSubject"/>
    <w:uiPriority w:val="99"/>
    <w:semiHidden/>
    <w:rsid w:val="00BC3CE9"/>
    <w:rPr>
      <w:b/>
      <w:bCs/>
      <w:sz w:val="20"/>
      <w:szCs w:val="20"/>
    </w:rPr>
  </w:style>
  <w:style w:type="character" w:customStyle="1" w:styleId="ListParagraphChar">
    <w:name w:val="List Paragraph Char"/>
    <w:basedOn w:val="DefaultParagraphFont"/>
    <w:link w:val="ListParagraph"/>
    <w:uiPriority w:val="34"/>
    <w:locked/>
    <w:rsid w:val="005E3F03"/>
    <w:rPr>
      <w:rFonts w:ascii="Arial" w:eastAsia="Arial" w:hAnsi="Arial" w:cs="Arial"/>
      <w:lang w:val="en-US"/>
    </w:rPr>
  </w:style>
  <w:style w:type="paragraph" w:styleId="EndnoteText">
    <w:name w:val="endnote text"/>
    <w:basedOn w:val="Normal"/>
    <w:link w:val="EndnoteTextChar"/>
    <w:uiPriority w:val="99"/>
    <w:semiHidden/>
    <w:unhideWhenUsed/>
    <w:rsid w:val="005E3F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3F03"/>
    <w:rPr>
      <w:sz w:val="20"/>
      <w:szCs w:val="20"/>
    </w:rPr>
  </w:style>
  <w:style w:type="character" w:styleId="EndnoteReference">
    <w:name w:val="endnote reference"/>
    <w:basedOn w:val="DefaultParagraphFont"/>
    <w:uiPriority w:val="99"/>
    <w:semiHidden/>
    <w:unhideWhenUsed/>
    <w:rsid w:val="005E3F03"/>
    <w:rPr>
      <w:vertAlign w:val="superscript"/>
    </w:rPr>
  </w:style>
  <w:style w:type="paragraph" w:styleId="List">
    <w:name w:val="List"/>
    <w:basedOn w:val="Normal"/>
    <w:uiPriority w:val="99"/>
    <w:unhideWhenUsed/>
    <w:rsid w:val="00887045"/>
    <w:pPr>
      <w:numPr>
        <w:numId w:val="5"/>
      </w:numPr>
      <w:ind w:left="720"/>
      <w:contextualSpacing/>
      <w:jc w:val="both"/>
    </w:pPr>
    <w:rPr>
      <w:rFonts w:ascii="Arial" w:hAnsi="Arial" w:cs="Arial"/>
    </w:rPr>
  </w:style>
  <w:style w:type="paragraph" w:styleId="ListNumber">
    <w:name w:val="List Number"/>
    <w:basedOn w:val="List"/>
    <w:uiPriority w:val="99"/>
    <w:unhideWhenUsed/>
    <w:rsid w:val="00887045"/>
    <w:pPr>
      <w:numPr>
        <w:numId w:val="18"/>
      </w:numPr>
      <w:ind w:left="720"/>
    </w:pPr>
  </w:style>
  <w:style w:type="paragraph" w:styleId="FootnoteText">
    <w:name w:val="footnote text"/>
    <w:basedOn w:val="EndnoteText"/>
    <w:link w:val="FootnoteTextChar"/>
    <w:uiPriority w:val="99"/>
    <w:unhideWhenUsed/>
    <w:rsid w:val="007F1B07"/>
    <w:pPr>
      <w:ind w:left="426" w:hanging="426"/>
    </w:pPr>
    <w:rPr>
      <w:rFonts w:ascii="Arial" w:hAnsi="Arial" w:cs="Arial"/>
      <w:sz w:val="18"/>
    </w:rPr>
  </w:style>
  <w:style w:type="character" w:customStyle="1" w:styleId="FootnoteTextChar">
    <w:name w:val="Footnote Text Char"/>
    <w:basedOn w:val="DefaultParagraphFont"/>
    <w:link w:val="FootnoteText"/>
    <w:uiPriority w:val="99"/>
    <w:rsid w:val="007F1B07"/>
    <w:rPr>
      <w:rFonts w:ascii="Arial" w:hAnsi="Arial" w:cs="Arial"/>
      <w:sz w:val="18"/>
      <w:szCs w:val="20"/>
    </w:rPr>
  </w:style>
  <w:style w:type="character" w:styleId="FootnoteReference">
    <w:name w:val="footnote reference"/>
    <w:basedOn w:val="DefaultParagraphFont"/>
    <w:uiPriority w:val="99"/>
    <w:semiHidden/>
    <w:unhideWhenUsed/>
    <w:rsid w:val="00E534CA"/>
    <w:rPr>
      <w:vertAlign w:val="superscript"/>
    </w:rPr>
  </w:style>
  <w:style w:type="character" w:styleId="Hyperlink">
    <w:name w:val="Hyperlink"/>
    <w:basedOn w:val="DefaultParagraphFont"/>
    <w:uiPriority w:val="99"/>
    <w:unhideWhenUsed/>
    <w:rsid w:val="00BD72AE"/>
    <w:rPr>
      <w:color w:val="0000FF"/>
      <w:u w:val="single"/>
    </w:rPr>
  </w:style>
  <w:style w:type="character" w:styleId="UnresolvedMention">
    <w:name w:val="Unresolved Mention"/>
    <w:basedOn w:val="DefaultParagraphFont"/>
    <w:uiPriority w:val="99"/>
    <w:semiHidden/>
    <w:unhideWhenUsed/>
    <w:rsid w:val="00AE46D5"/>
    <w:rPr>
      <w:color w:val="605E5C"/>
      <w:shd w:val="clear" w:color="auto" w:fill="E1DFDD"/>
    </w:rPr>
  </w:style>
  <w:style w:type="character" w:styleId="FollowedHyperlink">
    <w:name w:val="FollowedHyperlink"/>
    <w:basedOn w:val="DefaultParagraphFont"/>
    <w:uiPriority w:val="99"/>
    <w:semiHidden/>
    <w:unhideWhenUsed/>
    <w:rsid w:val="00AC0A87"/>
    <w:rPr>
      <w:color w:val="954F72" w:themeColor="followedHyperlink"/>
      <w:u w:val="single"/>
    </w:rPr>
  </w:style>
  <w:style w:type="character" w:customStyle="1" w:styleId="Heading3Char">
    <w:name w:val="Heading 3 Char"/>
    <w:basedOn w:val="DefaultParagraphFont"/>
    <w:link w:val="Heading3"/>
    <w:uiPriority w:val="9"/>
    <w:semiHidden/>
    <w:rsid w:val="00F5261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5261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5261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5261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5261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526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2611"/>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977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E2A1A-0986-42B4-8C30-E0D7B6E9ED4C}">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1321</Words>
  <Characters>7532</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Allen.SiobhanO[ORGCC]</dc:creator>
  <cp:keywords/>
  <dc:description/>
  <cp:lastModifiedBy>Grey.JohnC[CCE]</cp:lastModifiedBy>
  <cp:revision>4</cp:revision>
  <cp:lastPrinted>2021-11-18T03:52:00Z</cp:lastPrinted>
  <dcterms:created xsi:type="dcterms:W3CDTF">2023-11-30T00:35:00Z</dcterms:created>
  <dcterms:modified xsi:type="dcterms:W3CDTF">2024-01-08T05:09:00Z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