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7ACD4D9B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68422408" w14:textId="77777777" w:rsidR="0051448B" w:rsidRPr="0051448B" w:rsidRDefault="0051448B" w:rsidP="0051448B">
      <w:pPr>
        <w:spacing w:line="264" w:lineRule="auto"/>
        <w:ind w:left="-567"/>
        <w:rPr>
          <w:rFonts w:ascii="Arial" w:eastAsia="Arial" w:hAnsi="Arial" w:cs="Arial"/>
          <w:w w:val="115"/>
          <w:sz w:val="20"/>
          <w:szCs w:val="18"/>
        </w:rPr>
      </w:pP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52E1DFC" w:rsidR="00983317" w:rsidRPr="00BA5A02" w:rsidRDefault="00CE1EF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21311396" w:rsidR="00983317" w:rsidRPr="00BA5A02" w:rsidRDefault="00C90131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Community Safety Bill 2024</w:t>
            </w:r>
          </w:p>
        </w:tc>
      </w:tr>
      <w:tr w:rsidR="00983317" w:rsidRPr="00BA5A02" w14:paraId="0CA364F8" w14:textId="77777777" w:rsidTr="007A2C02">
        <w:trPr>
          <w:trHeight w:val="870"/>
        </w:trPr>
        <w:tc>
          <w:tcPr>
            <w:tcW w:w="1701" w:type="pct"/>
            <w:vAlign w:val="center"/>
          </w:tcPr>
          <w:p w14:paraId="79EBC13F" w14:textId="6A8B3259" w:rsidR="00983317" w:rsidRPr="009D16EB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</w:tc>
        <w:tc>
          <w:tcPr>
            <w:tcW w:w="3299" w:type="pct"/>
            <w:vAlign w:val="center"/>
          </w:tcPr>
          <w:p w14:paraId="646187CB" w14:textId="4CF4EFB5" w:rsidR="00983317" w:rsidRPr="00BA5A02" w:rsidRDefault="009D16E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</w:t>
            </w:r>
            <w:r w:rsidR="00CE1EF0">
              <w:rPr>
                <w:rFonts w:ascii="Arial" w:hAnsi="Arial" w:cs="Arial"/>
                <w:sz w:val="20"/>
              </w:rPr>
              <w:t xml:space="preserve">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567DD901" w14:textId="2A142E48" w:rsidR="00CE1EF0" w:rsidRDefault="00CE1EF0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Child</w:t>
            </w:r>
            <w:r w:rsidR="00C90131">
              <w:rPr>
                <w:rFonts w:ascii="Arial" w:hAnsi="Arial" w:cs="Arial"/>
                <w:i/>
                <w:iCs/>
                <w:sz w:val="20"/>
              </w:rPr>
              <w:t>rens Court Act 1992</w:t>
            </w:r>
          </w:p>
          <w:p w14:paraId="33260736" w14:textId="4E961F8B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Corrective Services Act 2006</w:t>
            </w:r>
          </w:p>
          <w:p w14:paraId="139EC2D1" w14:textId="42D56C5A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Criminal Code</w:t>
            </w:r>
          </w:p>
          <w:p w14:paraId="20A339A4" w14:textId="43DE41C4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Disaster Management and Other Legislation Amendment Act 2024</w:t>
            </w:r>
          </w:p>
          <w:p w14:paraId="1D30CBF9" w14:textId="5E8C10C0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Domestic and Family Violence Protection Act 2012</w:t>
            </w:r>
          </w:p>
          <w:p w14:paraId="3CAD0E1F" w14:textId="406F7D9B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Explosives Act 1999</w:t>
            </w:r>
          </w:p>
          <w:p w14:paraId="78B931D9" w14:textId="6D9DD8D1" w:rsidR="00C90131" w:rsidRDefault="00C90131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Judicial Review Act 1991</w:t>
            </w:r>
          </w:p>
          <w:p w14:paraId="34FADCB2" w14:textId="40A8B907" w:rsidR="00CE1EF0" w:rsidRPr="00CE1EF0" w:rsidRDefault="00CE1EF0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Police Powers and Responsibilities Act 2000</w:t>
            </w:r>
          </w:p>
          <w:p w14:paraId="023A79C1" w14:textId="44575D9F" w:rsidR="00C90131" w:rsidRDefault="00C90131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Police Service Administration Act 1986</w:t>
            </w:r>
          </w:p>
          <w:p w14:paraId="31486B0B" w14:textId="6C003EDF" w:rsidR="00DF202A" w:rsidRDefault="00DF202A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Public Safety Preservation Act 1986</w:t>
            </w:r>
          </w:p>
          <w:p w14:paraId="740F877E" w14:textId="1D3FBD28" w:rsidR="00C90131" w:rsidRDefault="00C90131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Summary Offences Act 2005</w:t>
            </w:r>
          </w:p>
          <w:p w14:paraId="1779E06B" w14:textId="7C45921C" w:rsidR="00C90131" w:rsidRDefault="00C90131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Transport Operations (Road Use Management) Act 1995</w:t>
            </w:r>
          </w:p>
          <w:p w14:paraId="1CC301F9" w14:textId="2E9BDEC6" w:rsidR="00C90131" w:rsidRDefault="00C90131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Weapons Act 1990</w:t>
            </w:r>
          </w:p>
          <w:p w14:paraId="0D4812E9" w14:textId="32B97BE8" w:rsidR="003C47A8" w:rsidRPr="00D37740" w:rsidRDefault="00C90131" w:rsidP="0007137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Youth Justice Act 1992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7EE7C317" w:rsidR="00983317" w:rsidRPr="00CE1EF0" w:rsidRDefault="00C90131" w:rsidP="00071370">
            <w:pPr>
              <w:spacing w:before="60" w:after="60"/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C90131">
              <w:rPr>
                <w:rFonts w:ascii="Arial" w:hAnsi="Arial" w:cs="Arial"/>
                <w:sz w:val="20"/>
              </w:rPr>
              <w:t>30 April 2024</w:t>
            </w:r>
          </w:p>
        </w:tc>
      </w:tr>
    </w:tbl>
    <w:p w14:paraId="3345BF63" w14:textId="0A214AEF" w:rsidR="00983317" w:rsidRPr="00A7629D" w:rsidRDefault="00983317" w:rsidP="001C757A">
      <w:pPr>
        <w:spacing w:before="60" w:after="60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27F2EE7E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27F2EE7E">
        <w:trPr>
          <w:trHeight w:val="1071"/>
        </w:trPr>
        <w:tc>
          <w:tcPr>
            <w:tcW w:w="2710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79ACB7BA" w14:textId="1B97341E" w:rsidR="00983317" w:rsidRPr="00CE1EF0" w:rsidRDefault="00CE1EF0" w:rsidP="27F2EE7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27F2EE7E">
              <w:rPr>
                <w:rFonts w:ascii="Arial" w:hAnsi="Arial" w:cs="Arial"/>
                <w:sz w:val="20"/>
              </w:rPr>
              <w:t xml:space="preserve">The </w:t>
            </w:r>
            <w:r w:rsidR="00C90131">
              <w:rPr>
                <w:rFonts w:ascii="Arial" w:hAnsi="Arial" w:cs="Arial"/>
                <w:sz w:val="20"/>
              </w:rPr>
              <w:t xml:space="preserve">regulatory </w:t>
            </w:r>
            <w:r w:rsidRPr="27F2EE7E">
              <w:rPr>
                <w:rFonts w:ascii="Arial" w:hAnsi="Arial" w:cs="Arial"/>
                <w:sz w:val="20"/>
              </w:rPr>
              <w:t>proposal</w:t>
            </w:r>
            <w:r w:rsidR="00C90131">
              <w:rPr>
                <w:rFonts w:ascii="Arial" w:hAnsi="Arial" w:cs="Arial"/>
                <w:sz w:val="20"/>
              </w:rPr>
              <w:t>s</w:t>
            </w:r>
            <w:r w:rsidRPr="27F2EE7E">
              <w:rPr>
                <w:rFonts w:ascii="Arial" w:hAnsi="Arial" w:cs="Arial"/>
                <w:sz w:val="20"/>
              </w:rPr>
              <w:t xml:space="preserve"> </w:t>
            </w:r>
            <w:r w:rsidR="00C90131">
              <w:rPr>
                <w:rFonts w:ascii="Arial" w:hAnsi="Arial" w:cs="Arial"/>
                <w:sz w:val="20"/>
              </w:rPr>
              <w:t>re</w:t>
            </w:r>
            <w:r w:rsidRPr="27F2EE7E">
              <w:rPr>
                <w:rFonts w:ascii="Arial" w:hAnsi="Arial" w:cs="Arial"/>
                <w:sz w:val="20"/>
              </w:rPr>
              <w:t>late</w:t>
            </w:r>
            <w:r w:rsidR="00C90131">
              <w:rPr>
                <w:rFonts w:ascii="Arial" w:hAnsi="Arial" w:cs="Arial"/>
                <w:sz w:val="20"/>
              </w:rPr>
              <w:t xml:space="preserve"> </w:t>
            </w:r>
            <w:r w:rsidR="60B197EA" w:rsidRPr="27F2EE7E">
              <w:rPr>
                <w:rFonts w:ascii="Arial" w:hAnsi="Arial" w:cs="Arial"/>
                <w:sz w:val="20"/>
              </w:rPr>
              <w:t xml:space="preserve">to </w:t>
            </w:r>
            <w:r w:rsidR="00B33FFE">
              <w:rPr>
                <w:rFonts w:ascii="Arial" w:hAnsi="Arial" w:cs="Arial"/>
                <w:sz w:val="20"/>
              </w:rPr>
              <w:t>police powers and administration</w:t>
            </w:r>
            <w:r w:rsidR="00C90131">
              <w:rPr>
                <w:rFonts w:ascii="Arial" w:hAnsi="Arial" w:cs="Arial"/>
                <w:sz w:val="20"/>
              </w:rPr>
              <w:t>, general criminal laws, the administration of courts and tribunals and corrective services.</w:t>
            </w:r>
            <w:r w:rsidR="00B33FFE">
              <w:rPr>
                <w:rFonts w:ascii="Arial" w:hAnsi="Arial" w:cs="Arial"/>
                <w:sz w:val="20"/>
              </w:rPr>
              <w:t xml:space="preserve"> </w:t>
            </w:r>
            <w:r w:rsidR="00A83B56">
              <w:rPr>
                <w:rFonts w:ascii="Arial" w:hAnsi="Arial" w:cs="Arial"/>
                <w:sz w:val="20"/>
              </w:rPr>
              <w:t>No regulatory impact analysis is required under the Better Regulation Policy.</w:t>
            </w:r>
          </w:p>
        </w:tc>
      </w:tr>
    </w:tbl>
    <w:p w14:paraId="71AA0F30" w14:textId="77777777" w:rsidR="00301B02" w:rsidRDefault="00301B02" w:rsidP="516A5EBB">
      <w:pPr>
        <w:spacing w:before="120" w:after="60"/>
        <w:ind w:left="-567"/>
        <w:rPr>
          <w:rFonts w:asciiTheme="majorHAnsi" w:hAnsiTheme="majorHAnsi" w:cstheme="majorBidi"/>
          <w:b/>
          <w:bCs/>
          <w:sz w:val="20"/>
        </w:rPr>
      </w:pPr>
    </w:p>
    <w:p w14:paraId="54167089" w14:textId="0D0537B6" w:rsidR="516A5EBB" w:rsidRDefault="516A5EBB" w:rsidP="516A5EBB">
      <w:pPr>
        <w:spacing w:before="120" w:after="60"/>
        <w:ind w:left="-567"/>
        <w:rPr>
          <w:rFonts w:asciiTheme="majorHAnsi" w:hAnsiTheme="majorHAnsi" w:cstheme="majorBidi"/>
          <w:b/>
          <w:bCs/>
          <w:sz w:val="20"/>
        </w:rPr>
      </w:pPr>
    </w:p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Pr="00BA5A02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Pr="00BA5A02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D3D38E7" w14:textId="1425DAC2" w:rsidR="003E2727" w:rsidRDefault="00C64F0B" w:rsidP="009D16EB">
      <w:pPr>
        <w:spacing w:before="240" w:after="60"/>
        <w:ind w:left="5041" w:hanging="560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Steve</w:t>
      </w:r>
      <w:r w:rsidR="003E2727">
        <w:rPr>
          <w:rFonts w:ascii="Arial" w:eastAsia="Yu Gothic Light" w:hAnsi="Arial" w:cs="Arial"/>
          <w:bCs/>
          <w:sz w:val="20"/>
        </w:rPr>
        <w:t xml:space="preserve"> </w:t>
      </w:r>
      <w:proofErr w:type="spellStart"/>
      <w:r w:rsidR="003E2727">
        <w:rPr>
          <w:rFonts w:ascii="Arial" w:eastAsia="Yu Gothic Light" w:hAnsi="Arial" w:cs="Arial"/>
          <w:bCs/>
          <w:sz w:val="20"/>
        </w:rPr>
        <w:t>Gollschewski</w:t>
      </w:r>
      <w:proofErr w:type="spellEnd"/>
      <w:r>
        <w:rPr>
          <w:rFonts w:ascii="Arial" w:eastAsia="Yu Gothic Light" w:hAnsi="Arial" w:cs="Arial"/>
          <w:bCs/>
          <w:sz w:val="20"/>
        </w:rPr>
        <w:t xml:space="preserve"> </w:t>
      </w:r>
      <w:r w:rsidR="009D16EB">
        <w:rPr>
          <w:rFonts w:ascii="Arial" w:eastAsia="Yu Gothic Light" w:hAnsi="Arial" w:cs="Arial"/>
          <w:bCs/>
          <w:sz w:val="20"/>
        </w:rPr>
        <w:t>APM</w:t>
      </w:r>
      <w:r w:rsidR="003E2727">
        <w:rPr>
          <w:rFonts w:ascii="Arial" w:eastAsia="Yu Gothic Light" w:hAnsi="Arial" w:cs="Arial"/>
          <w:bCs/>
          <w:sz w:val="20"/>
        </w:rPr>
        <w:tab/>
        <w:t>Mark Ryan MP</w:t>
      </w:r>
    </w:p>
    <w:p w14:paraId="269CD698" w14:textId="41B8E530" w:rsidR="00983317" w:rsidRPr="00BA5A02" w:rsidRDefault="00CE1EF0" w:rsidP="009D16EB">
      <w:pPr>
        <w:spacing w:after="60"/>
        <w:ind w:left="5040" w:hanging="560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 xml:space="preserve">A/Commissioner of Police </w:t>
      </w:r>
      <w:r w:rsidR="00983317" w:rsidRPr="00BA5A02">
        <w:rPr>
          <w:rFonts w:ascii="Arial" w:eastAsia="Yu Gothic Light" w:hAnsi="Arial" w:cs="Arial"/>
          <w:bCs/>
          <w:sz w:val="20"/>
        </w:rPr>
        <w:tab/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Community Safety </w:t>
      </w:r>
    </w:p>
    <w:p w14:paraId="417FFBE0" w14:textId="14313BE0" w:rsidR="009C25D2" w:rsidRPr="002268C9" w:rsidRDefault="00983317" w:rsidP="009D16EB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="00C90131">
        <w:rPr>
          <w:rFonts w:ascii="Arial" w:eastAsia="Yu Gothic Light" w:hAnsi="Arial" w:cs="Arial"/>
          <w:bCs/>
          <w:sz w:val="20"/>
        </w:rPr>
        <w:t>30/04/2024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</w:t>
      </w:r>
      <w:r w:rsidRPr="00C90131">
        <w:rPr>
          <w:rFonts w:ascii="Arial" w:eastAsia="Yu Gothic Light" w:hAnsi="Arial" w:cs="Arial"/>
          <w:bCs/>
          <w:sz w:val="20"/>
        </w:rPr>
        <w:t>:</w:t>
      </w:r>
      <w:r w:rsidR="00CE1EF0" w:rsidRPr="00C90131">
        <w:rPr>
          <w:rFonts w:ascii="Arial" w:eastAsia="Yu Gothic Light" w:hAnsi="Arial" w:cs="Arial"/>
          <w:bCs/>
          <w:sz w:val="20"/>
        </w:rPr>
        <w:t xml:space="preserve"> </w:t>
      </w:r>
      <w:r w:rsidR="00C90131" w:rsidRPr="00C90131">
        <w:rPr>
          <w:rFonts w:ascii="Arial" w:eastAsia="Yu Gothic Light" w:hAnsi="Arial" w:cs="Arial"/>
          <w:bCs/>
          <w:sz w:val="20"/>
        </w:rPr>
        <w:t>3</w:t>
      </w:r>
      <w:r w:rsidR="00C90131">
        <w:rPr>
          <w:rFonts w:ascii="Arial" w:eastAsia="Yu Gothic Light" w:hAnsi="Arial" w:cs="Arial"/>
          <w:bCs/>
          <w:sz w:val="20"/>
        </w:rPr>
        <w:t>0/04/2024</w:t>
      </w:r>
    </w:p>
    <w:sectPr w:rsidR="009C25D2" w:rsidRPr="002268C9" w:rsidSect="0071482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E99F" w14:textId="77777777" w:rsidR="00C47098" w:rsidRDefault="00C47098" w:rsidP="00421CC3">
      <w:r>
        <w:separator/>
      </w:r>
    </w:p>
    <w:p w14:paraId="2B4D3E5F" w14:textId="77777777" w:rsidR="00C47098" w:rsidRDefault="00C47098"/>
  </w:endnote>
  <w:endnote w:type="continuationSeparator" w:id="0">
    <w:p w14:paraId="40286B4F" w14:textId="77777777" w:rsidR="00C47098" w:rsidRDefault="00C47098" w:rsidP="00421CC3">
      <w:r>
        <w:continuationSeparator/>
      </w:r>
    </w:p>
    <w:p w14:paraId="69A991DC" w14:textId="77777777" w:rsidR="00C47098" w:rsidRDefault="00C47098"/>
  </w:endnote>
  <w:endnote w:type="continuationNotice" w:id="1">
    <w:p w14:paraId="1F6BF4D7" w14:textId="77777777" w:rsidR="00C47098" w:rsidRDefault="00C47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3DB522C3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permStart w:id="914058595" w:edGrp="everyone"/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15E6855D" wp14:editId="60AD24A8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ermEnd w:id="914058595"/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03E6" w14:textId="77777777" w:rsidR="00C47098" w:rsidRDefault="00C47098" w:rsidP="00FD2073">
      <w:pPr>
        <w:spacing w:after="20"/>
        <w:ind w:right="284"/>
      </w:pPr>
      <w:r>
        <w:separator/>
      </w:r>
    </w:p>
  </w:footnote>
  <w:footnote w:type="continuationSeparator" w:id="0">
    <w:p w14:paraId="5B9D4631" w14:textId="77777777" w:rsidR="00C47098" w:rsidRDefault="00C47098" w:rsidP="00FD2073">
      <w:pPr>
        <w:spacing w:after="20"/>
      </w:pPr>
      <w:r>
        <w:continuationSeparator/>
      </w:r>
    </w:p>
  </w:footnote>
  <w:footnote w:type="continuationNotice" w:id="1">
    <w:p w14:paraId="36CB5E2A" w14:textId="77777777" w:rsidR="00C47098" w:rsidRDefault="00C47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186C3B32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7CF4272A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A0F6EF0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52019C" wp14:editId="69D9B978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1013AF62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5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5"/>
  </w:num>
  <w:num w:numId="5" w16cid:durableId="1643344643">
    <w:abstractNumId w:val="5"/>
  </w:num>
  <w:num w:numId="6" w16cid:durableId="1212814638">
    <w:abstractNumId w:val="3"/>
  </w:num>
  <w:num w:numId="7" w16cid:durableId="321660150">
    <w:abstractNumId w:val="18"/>
  </w:num>
  <w:num w:numId="8" w16cid:durableId="1612779355">
    <w:abstractNumId w:val="14"/>
  </w:num>
  <w:num w:numId="9" w16cid:durableId="229310516">
    <w:abstractNumId w:val="17"/>
  </w:num>
  <w:num w:numId="10" w16cid:durableId="1029649243">
    <w:abstractNumId w:val="9"/>
  </w:num>
  <w:num w:numId="11" w16cid:durableId="1202132649">
    <w:abstractNumId w:val="10"/>
  </w:num>
  <w:num w:numId="12" w16cid:durableId="1636712802">
    <w:abstractNumId w:val="0"/>
  </w:num>
  <w:num w:numId="13" w16cid:durableId="348215749">
    <w:abstractNumId w:val="12"/>
  </w:num>
  <w:num w:numId="14" w16cid:durableId="1318730604">
    <w:abstractNumId w:val="11"/>
  </w:num>
  <w:num w:numId="15" w16cid:durableId="733046445">
    <w:abstractNumId w:val="7"/>
  </w:num>
  <w:num w:numId="16" w16cid:durableId="2097436850">
    <w:abstractNumId w:val="16"/>
  </w:num>
  <w:num w:numId="17" w16cid:durableId="1281955249">
    <w:abstractNumId w:val="8"/>
  </w:num>
  <w:num w:numId="18" w16cid:durableId="1994866675">
    <w:abstractNumId w:val="13"/>
  </w:num>
  <w:num w:numId="19" w16cid:durableId="18605793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+Jodi9sufIRDH7UqsZdWRfNbNI9lBpnntRA1cqaLuh9DYzNimRT6aGOaF3R8THuQoNH9xbdTfJubP9Qzfu+5A==" w:salt="KSfBQor5nwK46scUXUQM1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57A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2F83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6A9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47A8"/>
    <w:rsid w:val="003C5DB3"/>
    <w:rsid w:val="003C6245"/>
    <w:rsid w:val="003C7EDC"/>
    <w:rsid w:val="003D76C8"/>
    <w:rsid w:val="003D7E08"/>
    <w:rsid w:val="003E1CE1"/>
    <w:rsid w:val="003E2727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60CC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8D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5ED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16EB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3B56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5F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FFE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AD1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47098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4F0B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131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1EF0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2C66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740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B7985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202A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2285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26057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46B4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7F2EE7E"/>
    <w:rsid w:val="2A3FD4A3"/>
    <w:rsid w:val="4B2C7365"/>
    <w:rsid w:val="516A5EBB"/>
    <w:rsid w:val="576B5E5E"/>
    <w:rsid w:val="60B19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4a73a369f00ad9feea86152db990fc92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eea6fa0142a7f784f3f885b6fd9c753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a780f-e6b8-4db1-8768-ce3073031553" xsi:nil="true"/>
    <SharedWithUsers xmlns="d58a780f-e6b8-4db1-8768-ce3073031553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237109e6-cc51-4dcd-ab3e-08ec63dc8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93F39-87BC-412A-B1BC-7B63023A4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d58a780f-e6b8-4db1-8768-ce3073031553"/>
    <ds:schemaRef ds:uri="237109e6-cc51-4dcd-ab3e-08ec63dc8c13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21</cp:revision>
  <cp:lastPrinted>2023-10-02T22:59:00Z</cp:lastPrinted>
  <dcterms:created xsi:type="dcterms:W3CDTF">2024-03-04T23:42:00Z</dcterms:created>
  <dcterms:modified xsi:type="dcterms:W3CDTF">2024-05-30T01:02:00Z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0x01010029C9E8F438D6944FB4093AB7B3B3FF9A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