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2994" w14:textId="2E02D026" w:rsidR="00E01238" w:rsidRDefault="00E01238" w:rsidP="00E01238">
      <w:r w:rsidRPr="00E01238">
        <w:rPr>
          <w:noProof/>
        </w:rPr>
        <w:drawing>
          <wp:inline distT="0" distB="0" distL="0" distR="0" wp14:anchorId="22DBAD06" wp14:editId="7EA1BF0D">
            <wp:extent cx="865906" cy="1116000"/>
            <wp:effectExtent l="0" t="0" r="0" b="8255"/>
            <wp:docPr id="3" name="Picture 3" descr="Queensland Police Service badge. &#10;The QPS badge features a white Maltese cross with a crown at the top, set against a dark blue circular background and surrounded by a green laurel wreath. A navy ribbon across the center displays the words “Queensland Police” and “With Honour we Serve” in bold white letters, symbolizing authority and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ueensland Police Service badge. &#10;The QPS badge features a white Maltese cross with a crown at the top, set against a dark blue circular background and surrounded by a green laurel wreath. A navy ribbon across the center displays the words “Queensland Police” and “With Honour we Serve” in bold white letters, symbolizing authority and serv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5906" cy="1116000"/>
                    </a:xfrm>
                    <a:prstGeom prst="rect">
                      <a:avLst/>
                    </a:prstGeom>
                  </pic:spPr>
                </pic:pic>
              </a:graphicData>
            </a:graphic>
          </wp:inline>
        </w:drawing>
      </w:r>
      <w:r w:rsidR="009C3075" w:rsidRPr="00E01238">
        <w:rPr>
          <w:noProof/>
          <w:sz w:val="42"/>
          <w:szCs w:val="42"/>
        </w:rPr>
        <w:drawing>
          <wp:inline distT="0" distB="0" distL="0" distR="0" wp14:anchorId="7EB347AE" wp14:editId="15A7B3D0">
            <wp:extent cx="706186" cy="720000"/>
            <wp:effectExtent l="0" t="0" r="0" b="4445"/>
            <wp:docPr id="1" name="Picture 1" descr="Queensland State Emergency Service. The SES logo features a red crown centered on a yellow Maltese cross, symbolising honour, service, and protection. A belt and buckle encircle the cross to represent readiness and strength, flanked by red palm fronds that reflect Queensland’s tropical environment, with the motto “Be Aware” highlighting the SES mission to stay informed and prep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eensland State Emergency Service. The SES logo features a red crown centered on a yellow Maltese cross, symbolising honour, service, and protection. A belt and buckle encircle the cross to represent readiness and strength, flanked by red palm fronds that reflect Queensland’s tropical environment, with the motto “Be Aware” highlighting the SES mission to stay informed and prepar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11" b="3457"/>
                    <a:stretch/>
                  </pic:blipFill>
                  <pic:spPr bwMode="auto">
                    <a:xfrm>
                      <a:off x="0" y="0"/>
                      <a:ext cx="706186" cy="720000"/>
                    </a:xfrm>
                    <a:prstGeom prst="rect">
                      <a:avLst/>
                    </a:prstGeom>
                    <a:noFill/>
                    <a:ln>
                      <a:noFill/>
                    </a:ln>
                    <a:extLst>
                      <a:ext uri="{53640926-AAD7-44D8-BBD7-CCE9431645EC}">
                        <a14:shadowObscured xmlns:a14="http://schemas.microsoft.com/office/drawing/2010/main"/>
                      </a:ext>
                    </a:extLst>
                  </pic:spPr>
                </pic:pic>
              </a:graphicData>
            </a:graphic>
          </wp:inline>
        </w:drawing>
      </w:r>
      <w:r w:rsidR="009C3075" w:rsidRPr="00E01238">
        <w:rPr>
          <w:noProof/>
          <w:sz w:val="42"/>
          <w:szCs w:val="42"/>
        </w:rPr>
        <w:drawing>
          <wp:inline distT="0" distB="0" distL="0" distR="0" wp14:anchorId="3CF81C9E" wp14:editId="1EA30648">
            <wp:extent cx="650926" cy="720000"/>
            <wp:effectExtent l="0" t="0" r="0" b="4445"/>
            <wp:docPr id="4" name="Graphic 4" descr="Marine Rescue Queensland badge. The MRQ badge combines nautical elements including a life ring, anchor, and waves, representing safety and maritime expertise. It reflects the unification of Queensland’s volunteer marine rescue organisations, symbolising tradition, collaboration, and lifesav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arine Rescue Queensland badge. The MRQ badge combines nautical elements including a life ring, anchor, and waves, representing safety and maritime expertise. It reflects the unification of Queensland’s volunteer marine rescue organisations, symbolising tradition, collaboration, and lifesaving service."/>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l="14118" t="13708" r="13695" b="11279"/>
                    <a:stretch/>
                  </pic:blipFill>
                  <pic:spPr bwMode="auto">
                    <a:xfrm>
                      <a:off x="0" y="0"/>
                      <a:ext cx="650926" cy="720000"/>
                    </a:xfrm>
                    <a:prstGeom prst="rect">
                      <a:avLst/>
                    </a:prstGeom>
                    <a:ln>
                      <a:noFill/>
                    </a:ln>
                    <a:extLst>
                      <a:ext uri="{53640926-AAD7-44D8-BBD7-CCE9431645EC}">
                        <a14:shadowObscured xmlns:a14="http://schemas.microsoft.com/office/drawing/2010/main"/>
                      </a:ext>
                    </a:extLst>
                  </pic:spPr>
                </pic:pic>
              </a:graphicData>
            </a:graphic>
          </wp:inline>
        </w:drawing>
      </w:r>
    </w:p>
    <w:p w14:paraId="2F3B94F6" w14:textId="06C5C934" w:rsidR="00E01238" w:rsidRPr="00752826" w:rsidRDefault="00585014" w:rsidP="009C3075">
      <w:pPr>
        <w:spacing w:after="0"/>
        <w:rPr>
          <w:rStyle w:val="BookTitle"/>
          <w:i w:val="0"/>
          <w:iCs w:val="0"/>
          <w:sz w:val="40"/>
          <w:szCs w:val="40"/>
        </w:rPr>
      </w:pPr>
      <w:r w:rsidRPr="00752826">
        <w:rPr>
          <w:rStyle w:val="BookTitle"/>
          <w:i w:val="0"/>
          <w:iCs w:val="0"/>
          <w:sz w:val="40"/>
          <w:szCs w:val="40"/>
        </w:rPr>
        <w:t>Queensland Police Service</w:t>
      </w:r>
    </w:p>
    <w:p w14:paraId="58723C6E" w14:textId="2A9E0FAD" w:rsidR="003D4074" w:rsidRPr="00752826" w:rsidRDefault="00E01238" w:rsidP="009C3075">
      <w:pPr>
        <w:spacing w:after="360"/>
        <w:rPr>
          <w:rStyle w:val="BookTitle"/>
          <w:i w:val="0"/>
          <w:iCs w:val="0"/>
          <w:sz w:val="40"/>
          <w:szCs w:val="40"/>
        </w:rPr>
      </w:pPr>
      <w:r w:rsidRPr="00752826">
        <w:rPr>
          <w:rStyle w:val="BookTitle"/>
          <w:i w:val="0"/>
          <w:iCs w:val="0"/>
          <w:sz w:val="40"/>
          <w:szCs w:val="40"/>
        </w:rPr>
        <w:t xml:space="preserve">Strategic Workforce Plan </w:t>
      </w:r>
      <w:r w:rsidR="00C62CAB" w:rsidRPr="00752826">
        <w:rPr>
          <w:rStyle w:val="BookTitle"/>
          <w:i w:val="0"/>
          <w:iCs w:val="0"/>
          <w:sz w:val="40"/>
          <w:szCs w:val="40"/>
        </w:rPr>
        <w:t>2025-2029</w:t>
      </w:r>
    </w:p>
    <w:p w14:paraId="46F80D5C" w14:textId="669C9E5B" w:rsidR="00D3342B" w:rsidRPr="00752826" w:rsidRDefault="00D3342B" w:rsidP="00F0219E">
      <w:pPr>
        <w:pStyle w:val="Heading1"/>
      </w:pPr>
      <w:r w:rsidRPr="00752826">
        <w:t xml:space="preserve">Our values </w:t>
      </w:r>
    </w:p>
    <w:p w14:paraId="352552F9" w14:textId="77777777" w:rsidR="00D3342B" w:rsidRPr="00B577A8" w:rsidRDefault="00D3342B" w:rsidP="004D787C">
      <w:pPr>
        <w:pStyle w:val="DP1"/>
      </w:pPr>
      <w:r w:rsidRPr="00B577A8">
        <w:rPr>
          <w:b/>
        </w:rPr>
        <w:t>Integrity.</w:t>
      </w:r>
      <w:r w:rsidRPr="00B577A8">
        <w:t xml:space="preserve"> </w:t>
      </w:r>
      <w:r w:rsidRPr="00B577A8">
        <w:rPr>
          <w:bCs w:val="0"/>
        </w:rPr>
        <w:t>We are honest, trustworthy and serve the community with the highest standards of professional conduct at all times.</w:t>
      </w:r>
    </w:p>
    <w:p w14:paraId="73ECD80C" w14:textId="77777777" w:rsidR="00D3342B" w:rsidRPr="00B577A8" w:rsidRDefault="00D3342B" w:rsidP="004D787C">
      <w:pPr>
        <w:pStyle w:val="DP1"/>
      </w:pPr>
      <w:r w:rsidRPr="00B577A8">
        <w:rPr>
          <w:b/>
        </w:rPr>
        <w:t>Respect.</w:t>
      </w:r>
      <w:r w:rsidRPr="00B577A8">
        <w:t xml:space="preserve"> </w:t>
      </w:r>
      <w:r w:rsidRPr="00B577A8">
        <w:rPr>
          <w:bCs w:val="0"/>
        </w:rPr>
        <w:t>We treat everyone fairly and with dignity, embrace diversity, and consider and value all perspectives.</w:t>
      </w:r>
    </w:p>
    <w:p w14:paraId="60292A09" w14:textId="77777777" w:rsidR="00D3342B" w:rsidRPr="00B577A8" w:rsidRDefault="00D3342B" w:rsidP="004D787C">
      <w:pPr>
        <w:pStyle w:val="DP1"/>
      </w:pPr>
      <w:r w:rsidRPr="00B577A8">
        <w:rPr>
          <w:b/>
        </w:rPr>
        <w:t>Courage.</w:t>
      </w:r>
      <w:r w:rsidRPr="00B577A8">
        <w:t xml:space="preserve"> </w:t>
      </w:r>
      <w:r w:rsidRPr="00B577A8">
        <w:rPr>
          <w:bCs w:val="0"/>
        </w:rPr>
        <w:t>We serve in the face of adversity and lead by example.</w:t>
      </w:r>
    </w:p>
    <w:p w14:paraId="6E0D8F1E" w14:textId="08D96A81" w:rsidR="003A2DB1" w:rsidRPr="004D787C" w:rsidRDefault="003A2DB1" w:rsidP="00F0219E">
      <w:pPr>
        <w:pStyle w:val="Heading1"/>
      </w:pPr>
      <w:r w:rsidRPr="004D787C">
        <w:t>Our vision</w:t>
      </w:r>
      <w:r w:rsidR="00850DBE" w:rsidRPr="004D787C">
        <w:t xml:space="preserve"> </w:t>
      </w:r>
    </w:p>
    <w:p w14:paraId="2146F7A8" w14:textId="17D78BFD" w:rsidR="003A2DB1" w:rsidRPr="00B577A8" w:rsidRDefault="003A2DB1" w:rsidP="00F0219E">
      <w:r w:rsidRPr="00B577A8">
        <w:t>A safer</w:t>
      </w:r>
      <w:r w:rsidR="00514BF2" w:rsidRPr="00B577A8">
        <w:t xml:space="preserve">, </w:t>
      </w:r>
      <w:r w:rsidRPr="00B577A8">
        <w:t xml:space="preserve">more resilient Queensland. </w:t>
      </w:r>
    </w:p>
    <w:p w14:paraId="4AEC6131" w14:textId="43223A6F" w:rsidR="00A57D31" w:rsidRPr="004D787C" w:rsidRDefault="00A57D31" w:rsidP="00F0219E">
      <w:pPr>
        <w:pStyle w:val="Heading1"/>
      </w:pPr>
      <w:r w:rsidRPr="004D787C">
        <w:t>Our purpose</w:t>
      </w:r>
      <w:r w:rsidR="006819B3" w:rsidRPr="004D787C">
        <w:t xml:space="preserve"> </w:t>
      </w:r>
    </w:p>
    <w:p w14:paraId="7092B891" w14:textId="7BE58A08" w:rsidR="00514BF2" w:rsidRPr="00B577A8" w:rsidRDefault="00D3342B" w:rsidP="004D787C">
      <w:pPr>
        <w:rPr>
          <w:bCs/>
          <w:color w:val="0000FF"/>
        </w:rPr>
      </w:pPr>
      <w:r w:rsidRPr="00B577A8">
        <w:t xml:space="preserve">Keeping our community safe and feeling safe. </w:t>
      </w:r>
    </w:p>
    <w:p w14:paraId="1AC42EAD" w14:textId="2E1FC002" w:rsidR="00585014" w:rsidRPr="00B577A8" w:rsidRDefault="00585014" w:rsidP="00F0219E">
      <w:r w:rsidRPr="00B577A8">
        <w:t>The Queensland Police Service is responsible for the functions of:</w:t>
      </w:r>
    </w:p>
    <w:p w14:paraId="6D2DE066" w14:textId="0987BB50" w:rsidR="00585014" w:rsidRPr="00B577A8" w:rsidRDefault="00585014" w:rsidP="004D787C">
      <w:pPr>
        <w:pStyle w:val="DP1"/>
      </w:pPr>
      <w:r w:rsidRPr="00B577A8">
        <w:t>Policing and community safety</w:t>
      </w:r>
      <w:r w:rsidR="00723A06" w:rsidRPr="00B577A8">
        <w:t>.</w:t>
      </w:r>
    </w:p>
    <w:p w14:paraId="0662C860" w14:textId="70CEBCBA" w:rsidR="009C3075" w:rsidRPr="00B577A8" w:rsidRDefault="00585014" w:rsidP="004D787C">
      <w:pPr>
        <w:pStyle w:val="DP1"/>
      </w:pPr>
      <w:r w:rsidRPr="00B577A8">
        <w:t>State Emergency Service</w:t>
      </w:r>
      <w:r w:rsidR="00F82D8E" w:rsidRPr="00B577A8">
        <w:t xml:space="preserve"> (SES).</w:t>
      </w:r>
      <w:r w:rsidR="009C3075" w:rsidRPr="00B577A8">
        <w:t xml:space="preserve"> </w:t>
      </w:r>
    </w:p>
    <w:p w14:paraId="478CC5F0" w14:textId="7FA2EF0A" w:rsidR="009C3075" w:rsidRPr="00B577A8" w:rsidRDefault="00585014" w:rsidP="004D787C">
      <w:pPr>
        <w:pStyle w:val="DP1"/>
      </w:pPr>
      <w:r w:rsidRPr="00B577A8">
        <w:t>Marine Rescue Queensland</w:t>
      </w:r>
      <w:r w:rsidR="00F82D8E" w:rsidRPr="00B577A8">
        <w:t xml:space="preserve"> (MRQ).</w:t>
      </w:r>
      <w:r w:rsidR="009C3075" w:rsidRPr="00B577A8">
        <w:rPr>
          <w:noProof/>
          <w:sz w:val="40"/>
          <w:szCs w:val="40"/>
        </w:rPr>
        <w:t xml:space="preserve"> </w:t>
      </w:r>
    </w:p>
    <w:p w14:paraId="4DA11091" w14:textId="7697C37B" w:rsidR="00585014" w:rsidRPr="004D787C" w:rsidRDefault="0049230D" w:rsidP="00F0219E">
      <w:pPr>
        <w:pStyle w:val="Heading1"/>
      </w:pPr>
      <w:r>
        <w:t>O</w:t>
      </w:r>
      <w:r w:rsidR="00585014" w:rsidRPr="004D787C">
        <w:t>pportunities</w:t>
      </w:r>
      <w:r w:rsidR="00850DBE" w:rsidRPr="004D787C">
        <w:t xml:space="preserve"> </w:t>
      </w:r>
    </w:p>
    <w:p w14:paraId="7FBD0B25" w14:textId="0A048F28" w:rsidR="005F5315" w:rsidRPr="00B577A8" w:rsidRDefault="00945AE4" w:rsidP="004D787C">
      <w:pPr>
        <w:pStyle w:val="DP1"/>
      </w:pPr>
      <w:r w:rsidRPr="00B577A8">
        <w:t xml:space="preserve">Harnessing </w:t>
      </w:r>
      <w:r w:rsidR="005F5315" w:rsidRPr="00B577A8">
        <w:t xml:space="preserve">the talent and expertise of our workforce to </w:t>
      </w:r>
      <w:r w:rsidRPr="00B577A8">
        <w:t xml:space="preserve">enhance </w:t>
      </w:r>
      <w:r w:rsidR="005F5315" w:rsidRPr="00B577A8">
        <w:t xml:space="preserve">our resilience and meet </w:t>
      </w:r>
      <w:r w:rsidR="008110F7" w:rsidRPr="00B577A8">
        <w:t xml:space="preserve">future </w:t>
      </w:r>
      <w:r w:rsidR="005F5315" w:rsidRPr="00B577A8">
        <w:t xml:space="preserve">demand. </w:t>
      </w:r>
    </w:p>
    <w:p w14:paraId="38839EBD" w14:textId="77777777" w:rsidR="005F5315" w:rsidRPr="00B577A8" w:rsidRDefault="005F5315" w:rsidP="004D787C">
      <w:pPr>
        <w:pStyle w:val="DP1"/>
      </w:pPr>
      <w:r w:rsidRPr="00B577A8">
        <w:t>Embracing technology to optimise new and better ways of working.</w:t>
      </w:r>
    </w:p>
    <w:p w14:paraId="0E1A4E55" w14:textId="2CB3A449" w:rsidR="00752826" w:rsidRPr="00B577A8" w:rsidRDefault="00752826" w:rsidP="004D787C">
      <w:pPr>
        <w:pStyle w:val="DP1"/>
      </w:pPr>
      <w:r w:rsidRPr="00B577A8">
        <w:t xml:space="preserve">Leveraging changes in how we work to maximise our workforce potential. </w:t>
      </w:r>
    </w:p>
    <w:p w14:paraId="03BA09FB" w14:textId="255A7F55" w:rsidR="00752826" w:rsidRPr="00B577A8" w:rsidRDefault="00752826" w:rsidP="004D787C">
      <w:pPr>
        <w:pStyle w:val="DP1"/>
      </w:pPr>
      <w:r w:rsidRPr="00B577A8">
        <w:t xml:space="preserve">Implementing recommendations to drive reform and build a more inclusive workplace culture. </w:t>
      </w:r>
    </w:p>
    <w:p w14:paraId="7570A1BA" w14:textId="72637EFD" w:rsidR="00585014" w:rsidRPr="004D787C" w:rsidRDefault="0049230D" w:rsidP="00F0219E">
      <w:pPr>
        <w:pStyle w:val="Heading1"/>
      </w:pPr>
      <w:r>
        <w:t>R</w:t>
      </w:r>
      <w:r w:rsidR="00585014" w:rsidRPr="004D787C">
        <w:t>isks</w:t>
      </w:r>
      <w:r w:rsidR="00B26152" w:rsidRPr="004D787C">
        <w:t xml:space="preserve"> </w:t>
      </w:r>
    </w:p>
    <w:p w14:paraId="725B6757" w14:textId="5F5FB3B8" w:rsidR="00752826" w:rsidRPr="00B577A8" w:rsidRDefault="008D2102" w:rsidP="004D787C">
      <w:pPr>
        <w:pStyle w:val="DP1"/>
      </w:pPr>
      <w:r w:rsidRPr="00B577A8">
        <w:t>Addressing complex issues impacting our workforce</w:t>
      </w:r>
      <w:r w:rsidR="00945AE4" w:rsidRPr="00B577A8">
        <w:t>,</w:t>
      </w:r>
      <w:r w:rsidRPr="00B577A8">
        <w:t xml:space="preserve"> including safety, wellbeing and </w:t>
      </w:r>
      <w:r w:rsidR="00000BC4" w:rsidRPr="00B577A8">
        <w:t xml:space="preserve">psychological </w:t>
      </w:r>
      <w:r w:rsidRPr="00B577A8">
        <w:t>health.</w:t>
      </w:r>
    </w:p>
    <w:p w14:paraId="5F6E430D" w14:textId="6B31D8EA" w:rsidR="008D2102" w:rsidRPr="00B577A8" w:rsidRDefault="008D2102" w:rsidP="004D787C">
      <w:pPr>
        <w:pStyle w:val="DP1"/>
      </w:pPr>
      <w:r w:rsidRPr="00B577A8">
        <w:t>Building and aligning capacity and capability to meet demand</w:t>
      </w:r>
      <w:r w:rsidR="00B92F0F" w:rsidRPr="00B577A8">
        <w:t xml:space="preserve"> aligned </w:t>
      </w:r>
      <w:r w:rsidR="00761568" w:rsidRPr="00B577A8">
        <w:t>with</w:t>
      </w:r>
      <w:r w:rsidR="00B92F0F" w:rsidRPr="00B577A8">
        <w:t xml:space="preserve"> government fiscal priorities.   </w:t>
      </w:r>
    </w:p>
    <w:p w14:paraId="3C6A8FC5" w14:textId="7473539B" w:rsidR="008D2102" w:rsidRPr="00B577A8" w:rsidRDefault="008D2102" w:rsidP="004D787C">
      <w:pPr>
        <w:pStyle w:val="DP1"/>
      </w:pPr>
      <w:r w:rsidRPr="00B577A8">
        <w:t>Attracting and retaining talent in a highly competitive labour market and declining volunteerism.</w:t>
      </w:r>
    </w:p>
    <w:p w14:paraId="52FBE057" w14:textId="757E9194" w:rsidR="00C62CAB" w:rsidRPr="00B577A8" w:rsidRDefault="007F6BA3" w:rsidP="004D787C">
      <w:pPr>
        <w:pStyle w:val="DP1"/>
      </w:pPr>
      <w:r w:rsidRPr="00B577A8">
        <w:t>Declining community trust and confidence in the integrity and professionalism of polic</w:t>
      </w:r>
      <w:r w:rsidR="00D3342B" w:rsidRPr="00B577A8">
        <w:t>ing</w:t>
      </w:r>
      <w:r w:rsidRPr="00B577A8">
        <w:t xml:space="preserve">. </w:t>
      </w:r>
    </w:p>
    <w:p w14:paraId="06E9F843" w14:textId="1BF87023" w:rsidR="00585014" w:rsidRPr="004D787C" w:rsidRDefault="00585014" w:rsidP="00F0219E">
      <w:pPr>
        <w:pStyle w:val="Heading1"/>
      </w:pPr>
      <w:r w:rsidRPr="004D787C">
        <w:t xml:space="preserve">Our </w:t>
      </w:r>
      <w:r w:rsidR="00813105" w:rsidRPr="004D787C">
        <w:t>People</w:t>
      </w:r>
      <w:r w:rsidR="00C02AFA" w:rsidRPr="004D787C">
        <w:t xml:space="preserve"> </w:t>
      </w:r>
      <w:r w:rsidR="009A6E75" w:rsidRPr="004D787C">
        <w:t xml:space="preserve">(as at 30 June </w:t>
      </w:r>
      <w:r w:rsidR="00155491" w:rsidRPr="004D787C">
        <w:t>2025</w:t>
      </w:r>
      <w:r w:rsidR="009A6E75" w:rsidRPr="004D787C">
        <w:t>)</w:t>
      </w:r>
      <w:r w:rsidR="00527234" w:rsidRPr="004D787C">
        <w:t xml:space="preserve"> </w:t>
      </w:r>
    </w:p>
    <w:p w14:paraId="11B9FE51" w14:textId="0B99CE59" w:rsidR="00D3342B" w:rsidRPr="00B577A8" w:rsidRDefault="00D3342B" w:rsidP="00F0219E">
      <w:pPr>
        <w:pStyle w:val="Heading2"/>
      </w:pPr>
      <w:r w:rsidRPr="00B577A8">
        <w:t>Our paid workforce (19,579</w:t>
      </w:r>
      <w:r w:rsidR="001333EE" w:rsidRPr="00B577A8">
        <w:t xml:space="preserve"> employees</w:t>
      </w:r>
      <w:r w:rsidRPr="00B577A8">
        <w:t>)</w:t>
      </w:r>
    </w:p>
    <w:p w14:paraId="275E1988" w14:textId="4C2E7BB0" w:rsidR="00D3342B" w:rsidRPr="00B577A8" w:rsidRDefault="00D3342B" w:rsidP="004D787C">
      <w:pPr>
        <w:pStyle w:val="DP1"/>
      </w:pPr>
      <w:r w:rsidRPr="00B577A8">
        <w:t>Police</w:t>
      </w:r>
      <w:r w:rsidR="00611211" w:rsidRPr="00B577A8">
        <w:t xml:space="preserve">: </w:t>
      </w:r>
      <w:r w:rsidRPr="00B577A8">
        <w:t>12,697</w:t>
      </w:r>
      <w:r w:rsidR="00611211" w:rsidRPr="00B577A8">
        <w:t xml:space="preserve"> employees.</w:t>
      </w:r>
      <w:r w:rsidRPr="00B577A8">
        <w:t xml:space="preserve"> </w:t>
      </w:r>
      <w:r w:rsidR="00611211" w:rsidRPr="00B577A8">
        <w:t xml:space="preserve">71.8% </w:t>
      </w:r>
      <w:r w:rsidRPr="00B577A8">
        <w:t>Male</w:t>
      </w:r>
      <w:r w:rsidR="00611211" w:rsidRPr="00B577A8">
        <w:t>.</w:t>
      </w:r>
      <w:r w:rsidRPr="00B577A8">
        <w:t xml:space="preserve"> </w:t>
      </w:r>
      <w:r w:rsidR="00611211" w:rsidRPr="00B577A8">
        <w:t xml:space="preserve">28.2% </w:t>
      </w:r>
      <w:r w:rsidRPr="00B577A8">
        <w:t>Female</w:t>
      </w:r>
      <w:r w:rsidR="00611211" w:rsidRPr="00B577A8">
        <w:t>.</w:t>
      </w:r>
      <w:r w:rsidRPr="00B577A8">
        <w:t xml:space="preserve"> </w:t>
      </w:r>
      <w:r w:rsidR="00611211" w:rsidRPr="00B577A8">
        <w:t>Less than 0.1% Other</w:t>
      </w:r>
      <w:r w:rsidRPr="00B577A8">
        <w:t>.</w:t>
      </w:r>
    </w:p>
    <w:p w14:paraId="60064168" w14:textId="00E049FF" w:rsidR="00D3342B" w:rsidRPr="00B577A8" w:rsidRDefault="00D3342B" w:rsidP="004D787C">
      <w:pPr>
        <w:pStyle w:val="DP1"/>
      </w:pPr>
      <w:r w:rsidRPr="00B577A8">
        <w:t>Staff</w:t>
      </w:r>
      <w:r w:rsidR="00611211" w:rsidRPr="00B577A8">
        <w:t xml:space="preserve">: </w:t>
      </w:r>
      <w:r w:rsidRPr="00B577A8">
        <w:t>6,151</w:t>
      </w:r>
      <w:r w:rsidR="00611211" w:rsidRPr="00B577A8">
        <w:t xml:space="preserve"> employees.</w:t>
      </w:r>
      <w:r w:rsidRPr="00B577A8">
        <w:t xml:space="preserve"> </w:t>
      </w:r>
      <w:r w:rsidR="00611211" w:rsidRPr="00B577A8">
        <w:t xml:space="preserve">39.0% </w:t>
      </w:r>
      <w:r w:rsidRPr="00B577A8">
        <w:t>Male</w:t>
      </w:r>
      <w:r w:rsidR="00611211" w:rsidRPr="00B577A8">
        <w:t>. 61.0%</w:t>
      </w:r>
      <w:r w:rsidRPr="00B577A8">
        <w:t xml:space="preserve"> Female. </w:t>
      </w:r>
      <w:r w:rsidR="00611211" w:rsidRPr="00B577A8">
        <w:t xml:space="preserve">Less than 0.1% </w:t>
      </w:r>
      <w:r w:rsidRPr="00B577A8">
        <w:t>Other.</w:t>
      </w:r>
    </w:p>
    <w:p w14:paraId="6B082C2A" w14:textId="5FB95AF3" w:rsidR="00D3342B" w:rsidRPr="00B577A8" w:rsidRDefault="00D3342B" w:rsidP="004D787C">
      <w:pPr>
        <w:pStyle w:val="DP1"/>
      </w:pPr>
      <w:r w:rsidRPr="00B577A8">
        <w:t>Recruits</w:t>
      </w:r>
      <w:r w:rsidR="00611211" w:rsidRPr="00B577A8">
        <w:t xml:space="preserve">: </w:t>
      </w:r>
      <w:r w:rsidRPr="00B577A8">
        <w:t>731</w:t>
      </w:r>
      <w:r w:rsidR="00611211" w:rsidRPr="00B577A8">
        <w:t xml:space="preserve"> employees.</w:t>
      </w:r>
      <w:r w:rsidRPr="00B577A8">
        <w:t xml:space="preserve"> </w:t>
      </w:r>
      <w:r w:rsidR="00611211" w:rsidRPr="00B577A8">
        <w:t xml:space="preserve">67.7% </w:t>
      </w:r>
      <w:r w:rsidRPr="00B577A8">
        <w:t>Male</w:t>
      </w:r>
      <w:r w:rsidR="00611211" w:rsidRPr="00B577A8">
        <w:t>.</w:t>
      </w:r>
      <w:r w:rsidRPr="00B577A8">
        <w:t xml:space="preserve"> </w:t>
      </w:r>
      <w:r w:rsidR="00611211" w:rsidRPr="00B577A8">
        <w:t xml:space="preserve">32.3% </w:t>
      </w:r>
      <w:r w:rsidRPr="00B577A8">
        <w:t>Female</w:t>
      </w:r>
      <w:r w:rsidR="00611211" w:rsidRPr="00B577A8">
        <w:t>.</w:t>
      </w:r>
    </w:p>
    <w:p w14:paraId="33932AFD" w14:textId="69A0D4E3" w:rsidR="00D3342B" w:rsidRPr="00B577A8" w:rsidRDefault="00D3342B" w:rsidP="00D3342B">
      <w:pPr>
        <w:pStyle w:val="Heading2"/>
      </w:pPr>
      <w:r w:rsidRPr="00B577A8">
        <w:lastRenderedPageBreak/>
        <w:t>Our volunteer workforce (</w:t>
      </w:r>
      <w:r w:rsidR="00EB7C9D" w:rsidRPr="004D787C">
        <w:t>6</w:t>
      </w:r>
      <w:r w:rsidRPr="00B577A8">
        <w:t>,</w:t>
      </w:r>
      <w:r w:rsidR="00EB7C9D" w:rsidRPr="004D787C">
        <w:t>22</w:t>
      </w:r>
      <w:r w:rsidR="00E329E9">
        <w:t>6</w:t>
      </w:r>
      <w:r w:rsidR="001333EE" w:rsidRPr="00B577A8">
        <w:t xml:space="preserve"> volunteers</w:t>
      </w:r>
      <w:r w:rsidRPr="00B577A8">
        <w:t>)</w:t>
      </w:r>
    </w:p>
    <w:p w14:paraId="7EC177F0" w14:textId="5AE5981D" w:rsidR="00D3342B" w:rsidRPr="00B577A8" w:rsidRDefault="00D3342B" w:rsidP="004D787C">
      <w:pPr>
        <w:pStyle w:val="DP1"/>
      </w:pPr>
      <w:r w:rsidRPr="00B577A8">
        <w:t>State Emergency Service</w:t>
      </w:r>
      <w:r w:rsidR="00611211" w:rsidRPr="00B577A8">
        <w:t>:</w:t>
      </w:r>
      <w:r w:rsidR="00F82D8E" w:rsidRPr="00B577A8">
        <w:t xml:space="preserve"> </w:t>
      </w:r>
      <w:r w:rsidR="00F921CE" w:rsidRPr="004D787C">
        <w:t>5,404</w:t>
      </w:r>
      <w:r w:rsidR="00611211" w:rsidRPr="00B577A8">
        <w:t xml:space="preserve"> volunteers. </w:t>
      </w:r>
      <w:r w:rsidR="00EB7C9D" w:rsidRPr="004D787C">
        <w:t>60</w:t>
      </w:r>
      <w:r w:rsidR="00611211" w:rsidRPr="00B577A8">
        <w:t>.</w:t>
      </w:r>
      <w:r w:rsidR="00EB7C9D" w:rsidRPr="004D787C">
        <w:t>5</w:t>
      </w:r>
      <w:r w:rsidR="00611211" w:rsidRPr="00B577A8">
        <w:t xml:space="preserve">% Male. </w:t>
      </w:r>
      <w:r w:rsidR="00EB7C9D" w:rsidRPr="004D787C">
        <w:t>39.4</w:t>
      </w:r>
      <w:r w:rsidR="00611211" w:rsidRPr="00B577A8">
        <w:t xml:space="preserve">% Female. </w:t>
      </w:r>
      <w:r w:rsidR="00EB7C9D" w:rsidRPr="00B577A8">
        <w:t xml:space="preserve">Less than 0.1% </w:t>
      </w:r>
      <w:r w:rsidR="00611211" w:rsidRPr="00B577A8">
        <w:t>Other.</w:t>
      </w:r>
      <w:permStart w:id="71268900" w:edGrp="everyone"/>
    </w:p>
    <w:permEnd w:id="71268900"/>
    <w:p w14:paraId="5F232DBE" w14:textId="0D3FB3DF" w:rsidR="00D3342B" w:rsidRDefault="00D3342B">
      <w:pPr>
        <w:pStyle w:val="DP1"/>
      </w:pPr>
      <w:r w:rsidRPr="00B577A8">
        <w:t>Marine Rescue Queensland</w:t>
      </w:r>
      <w:r w:rsidR="00611211" w:rsidRPr="00B577A8">
        <w:t xml:space="preserve">: </w:t>
      </w:r>
      <w:r w:rsidR="00F921CE" w:rsidRPr="004D787C">
        <w:t>629</w:t>
      </w:r>
      <w:r w:rsidR="00611211" w:rsidRPr="00B577A8">
        <w:t xml:space="preserve"> volunteers. </w:t>
      </w:r>
      <w:r w:rsidR="00D3539F" w:rsidRPr="004D787C">
        <w:t>78.1</w:t>
      </w:r>
      <w:r w:rsidR="00611211" w:rsidRPr="00B577A8">
        <w:t xml:space="preserve">% Male. </w:t>
      </w:r>
      <w:r w:rsidR="00D3539F" w:rsidRPr="004D787C">
        <w:t>21.3</w:t>
      </w:r>
      <w:r w:rsidR="00611211" w:rsidRPr="00B577A8">
        <w:t xml:space="preserve">% Female. </w:t>
      </w:r>
      <w:r w:rsidR="00D3539F" w:rsidRPr="004D787C">
        <w:t>0</w:t>
      </w:r>
      <w:r w:rsidR="00611211" w:rsidRPr="00B577A8">
        <w:t>.</w:t>
      </w:r>
      <w:r w:rsidR="00D3539F" w:rsidRPr="004D787C">
        <w:t>6</w:t>
      </w:r>
      <w:r w:rsidR="00611211" w:rsidRPr="00B577A8">
        <w:t>% Other.</w:t>
      </w:r>
    </w:p>
    <w:p w14:paraId="2DBFF1FD" w14:textId="30695049" w:rsidR="00C70C87" w:rsidRPr="00B577A8" w:rsidRDefault="00C70C87" w:rsidP="004D787C">
      <w:pPr>
        <w:pStyle w:val="DP1"/>
      </w:pPr>
      <w:r w:rsidRPr="00B577A8">
        <w:t xml:space="preserve">Volunteers in Policing: </w:t>
      </w:r>
      <w:r w:rsidRPr="0084698F">
        <w:t>193</w:t>
      </w:r>
      <w:r w:rsidRPr="00B577A8">
        <w:t xml:space="preserve"> volunteers. </w:t>
      </w:r>
      <w:r w:rsidRPr="0084698F">
        <w:t>47</w:t>
      </w:r>
      <w:r w:rsidRPr="00B577A8">
        <w:t>.</w:t>
      </w:r>
      <w:r w:rsidRPr="0084698F">
        <w:t>2</w:t>
      </w:r>
      <w:r w:rsidRPr="00B577A8">
        <w:t xml:space="preserve">% Male. </w:t>
      </w:r>
      <w:r w:rsidRPr="0084698F">
        <w:t>52.8</w:t>
      </w:r>
      <w:r w:rsidRPr="00B577A8">
        <w:t>% Female.</w:t>
      </w:r>
    </w:p>
    <w:p w14:paraId="45EC826F" w14:textId="77777777" w:rsidR="004E3405" w:rsidRPr="00B577A8" w:rsidRDefault="004E3405" w:rsidP="004D787C">
      <w:pPr>
        <w:pStyle w:val="Heading2"/>
      </w:pPr>
      <w:r w:rsidRPr="00B577A8">
        <w:t>Location</w:t>
      </w:r>
    </w:p>
    <w:p w14:paraId="76D0E7D0" w14:textId="78AE815B" w:rsidR="00D3342B" w:rsidRPr="00B577A8" w:rsidRDefault="009F3922" w:rsidP="004D787C">
      <w:pPr>
        <w:pStyle w:val="DP1"/>
      </w:pPr>
      <w:r w:rsidRPr="004D787C">
        <w:t>Remote</w:t>
      </w:r>
      <w:r w:rsidR="00514BF2" w:rsidRPr="00B577A8">
        <w:t>:</w:t>
      </w:r>
      <w:r w:rsidR="004E3405" w:rsidRPr="00B577A8">
        <w:t xml:space="preserve"> </w:t>
      </w:r>
      <w:r w:rsidR="00B577A8" w:rsidRPr="004D787C">
        <w:t>4.0</w:t>
      </w:r>
      <w:r w:rsidR="00ED0181" w:rsidRPr="004D787C">
        <w:t>% of o</w:t>
      </w:r>
      <w:r w:rsidR="00514BF2" w:rsidRPr="00B577A8">
        <w:t>ur paid workforce</w:t>
      </w:r>
      <w:r w:rsidR="00ED0181" w:rsidRPr="004D787C">
        <w:t xml:space="preserve"> are based in a </w:t>
      </w:r>
      <w:r w:rsidRPr="004D787C">
        <w:t>remote</w:t>
      </w:r>
      <w:r w:rsidR="00ED0181" w:rsidRPr="004D787C">
        <w:t xml:space="preserve"> location. </w:t>
      </w:r>
      <w:r w:rsidRPr="004D787C">
        <w:t>15.6</w:t>
      </w:r>
      <w:r w:rsidR="00ED0181" w:rsidRPr="004D787C">
        <w:t>%</w:t>
      </w:r>
      <w:r w:rsidR="00514BF2" w:rsidRPr="00B577A8">
        <w:t xml:space="preserve"> </w:t>
      </w:r>
      <w:r w:rsidR="00ED0181" w:rsidRPr="004D787C">
        <w:t>of o</w:t>
      </w:r>
      <w:r w:rsidR="00514BF2" w:rsidRPr="00B577A8">
        <w:t>ur volunteer workforce</w:t>
      </w:r>
      <w:r w:rsidR="00ED0181" w:rsidRPr="004D787C">
        <w:t xml:space="preserve"> </w:t>
      </w:r>
      <w:r w:rsidR="0049230D">
        <w:t xml:space="preserve">are based </w:t>
      </w:r>
      <w:r w:rsidR="00ED0181" w:rsidRPr="004D787C">
        <w:t xml:space="preserve">in a </w:t>
      </w:r>
      <w:r w:rsidRPr="004D787C">
        <w:t>remote</w:t>
      </w:r>
      <w:r w:rsidR="00ED0181" w:rsidRPr="004D787C">
        <w:t xml:space="preserve"> location</w:t>
      </w:r>
      <w:r w:rsidR="00514BF2" w:rsidRPr="00B577A8">
        <w:t xml:space="preserve">. </w:t>
      </w:r>
    </w:p>
    <w:p w14:paraId="2F319CA4" w14:textId="1B628184" w:rsidR="004E3405" w:rsidRPr="00B577A8" w:rsidRDefault="004E3405" w:rsidP="004D787C">
      <w:pPr>
        <w:pStyle w:val="DP1"/>
      </w:pPr>
      <w:r w:rsidRPr="00B577A8">
        <w:t>Regional</w:t>
      </w:r>
      <w:r w:rsidR="00514BF2" w:rsidRPr="00B577A8">
        <w:t xml:space="preserve">: </w:t>
      </w:r>
      <w:r w:rsidR="00B577A8" w:rsidRPr="004D787C">
        <w:t>27</w:t>
      </w:r>
      <w:r w:rsidR="00ED0181" w:rsidRPr="004D787C">
        <w:t>.</w:t>
      </w:r>
      <w:r w:rsidR="00B577A8" w:rsidRPr="004D787C">
        <w:t>2</w:t>
      </w:r>
      <w:r w:rsidR="00ED0181" w:rsidRPr="004D787C">
        <w:t>% of o</w:t>
      </w:r>
      <w:r w:rsidR="00514BF2" w:rsidRPr="00B577A8">
        <w:t>ur paid workforce</w:t>
      </w:r>
      <w:r w:rsidR="00ED0181" w:rsidRPr="004D787C">
        <w:t xml:space="preserve"> are based in a regional location. </w:t>
      </w:r>
      <w:r w:rsidR="00514BF2" w:rsidRPr="00B577A8">
        <w:t xml:space="preserve"> </w:t>
      </w:r>
      <w:r w:rsidR="00F921CE" w:rsidRPr="004D787C">
        <w:t>50</w:t>
      </w:r>
      <w:r w:rsidR="00ED0181" w:rsidRPr="004D787C">
        <w:t>.</w:t>
      </w:r>
      <w:r w:rsidR="00F921CE" w:rsidRPr="004D787C">
        <w:t>7</w:t>
      </w:r>
      <w:r w:rsidR="00ED0181" w:rsidRPr="004D787C">
        <w:t>% of o</w:t>
      </w:r>
      <w:r w:rsidR="00514BF2" w:rsidRPr="00B577A8">
        <w:t xml:space="preserve">ur volunteer workforce </w:t>
      </w:r>
      <w:r w:rsidR="00ED0181" w:rsidRPr="004D787C">
        <w:t xml:space="preserve">are based in a regional location. </w:t>
      </w:r>
    </w:p>
    <w:p w14:paraId="5783C451" w14:textId="498708DE" w:rsidR="00ED0181" w:rsidRPr="004D787C" w:rsidRDefault="004E3405" w:rsidP="00ED0181">
      <w:pPr>
        <w:pStyle w:val="DP1"/>
      </w:pPr>
      <w:r w:rsidRPr="00B577A8">
        <w:t>Urban</w:t>
      </w:r>
      <w:r w:rsidR="00514BF2" w:rsidRPr="00B577A8">
        <w:t xml:space="preserve">: </w:t>
      </w:r>
      <w:r w:rsidR="00B577A8" w:rsidRPr="004D787C">
        <w:t>68</w:t>
      </w:r>
      <w:r w:rsidR="00ED0181" w:rsidRPr="004D787C">
        <w:t>.</w:t>
      </w:r>
      <w:r w:rsidR="00B577A8" w:rsidRPr="004D787C">
        <w:t>8</w:t>
      </w:r>
      <w:r w:rsidR="00ED0181" w:rsidRPr="004D787C">
        <w:t xml:space="preserve">% of our paid workforce are based in an urban location.  </w:t>
      </w:r>
      <w:r w:rsidR="00F921CE" w:rsidRPr="004D787C">
        <w:t>33</w:t>
      </w:r>
      <w:r w:rsidR="00ED0181" w:rsidRPr="004D787C">
        <w:t>.</w:t>
      </w:r>
      <w:r w:rsidR="00E329E9">
        <w:t>7</w:t>
      </w:r>
      <w:r w:rsidR="00ED0181" w:rsidRPr="004D787C">
        <w:t xml:space="preserve">% of our volunteer workforce are based in an urban location. </w:t>
      </w:r>
    </w:p>
    <w:p w14:paraId="44E0A8D5" w14:textId="213E13A3" w:rsidR="004E3405" w:rsidRPr="00B577A8" w:rsidRDefault="004E3405" w:rsidP="004D787C">
      <w:pPr>
        <w:pStyle w:val="Heading2"/>
      </w:pPr>
      <w:r w:rsidRPr="00B577A8">
        <w:t>Employment status</w:t>
      </w:r>
    </w:p>
    <w:p w14:paraId="33D02987" w14:textId="079C7883" w:rsidR="00A97E53" w:rsidRPr="00B577A8" w:rsidRDefault="00ED0181" w:rsidP="004D787C">
      <w:pPr>
        <w:pStyle w:val="DP1"/>
      </w:pPr>
      <w:r w:rsidRPr="00B577A8">
        <w:t>91.1% of our paid workforce are p</w:t>
      </w:r>
      <w:r w:rsidR="00A97E53" w:rsidRPr="00B577A8">
        <w:t>ermanent</w:t>
      </w:r>
      <w:r w:rsidRPr="00B577A8">
        <w:t xml:space="preserve"> employees</w:t>
      </w:r>
      <w:r w:rsidR="00A97E53" w:rsidRPr="00B577A8">
        <w:t xml:space="preserve"> (17,829 employees). </w:t>
      </w:r>
    </w:p>
    <w:p w14:paraId="1BC2BA85" w14:textId="7EBDDFF5" w:rsidR="00A97E53" w:rsidRPr="00B577A8" w:rsidRDefault="00A97E53" w:rsidP="004D787C">
      <w:pPr>
        <w:pStyle w:val="DP1"/>
      </w:pPr>
      <w:r w:rsidRPr="00B577A8">
        <w:t>4.2%</w:t>
      </w:r>
      <w:r w:rsidR="00ED0181" w:rsidRPr="00B577A8">
        <w:t xml:space="preserve"> of our paid workforce are temporary employees</w:t>
      </w:r>
      <w:r w:rsidRPr="00B577A8">
        <w:t xml:space="preserve"> (825 employees). </w:t>
      </w:r>
    </w:p>
    <w:p w14:paraId="1337B083" w14:textId="6A3732B5" w:rsidR="00A97E53" w:rsidRPr="00B577A8" w:rsidRDefault="00A97E53" w:rsidP="004D787C">
      <w:pPr>
        <w:pStyle w:val="DP1"/>
      </w:pPr>
      <w:r w:rsidRPr="00B577A8">
        <w:t xml:space="preserve">3.9% </w:t>
      </w:r>
      <w:r w:rsidR="00ED0181" w:rsidRPr="00B577A8">
        <w:t xml:space="preserve">of our paid workforce are employed on a contractual basis </w:t>
      </w:r>
      <w:r w:rsidRPr="00B577A8">
        <w:t>(773 employees</w:t>
      </w:r>
      <w:r w:rsidR="00ED0181" w:rsidRPr="00B577A8">
        <w:t>)</w:t>
      </w:r>
      <w:r w:rsidRPr="00B577A8">
        <w:t xml:space="preserve">. </w:t>
      </w:r>
    </w:p>
    <w:p w14:paraId="2770F0A9" w14:textId="13730A39" w:rsidR="00A97E53" w:rsidRPr="00B577A8" w:rsidRDefault="00A97E53" w:rsidP="004D787C">
      <w:pPr>
        <w:pStyle w:val="DP1"/>
      </w:pPr>
      <w:r w:rsidRPr="00B577A8">
        <w:t>0.8%</w:t>
      </w:r>
      <w:r w:rsidR="00ED0181" w:rsidRPr="00B577A8">
        <w:t xml:space="preserve"> of our paid workforce are employed on a casual basis</w:t>
      </w:r>
      <w:r w:rsidRPr="00B577A8">
        <w:t xml:space="preserve"> (152 employees). </w:t>
      </w:r>
    </w:p>
    <w:p w14:paraId="4C67C32D" w14:textId="54A057E8" w:rsidR="00A97E53" w:rsidRPr="00B577A8" w:rsidRDefault="00A97E53" w:rsidP="004D787C">
      <w:pPr>
        <w:pStyle w:val="Heading2"/>
      </w:pPr>
      <w:r w:rsidRPr="00B577A8">
        <w:t xml:space="preserve">Average age and distribution </w:t>
      </w:r>
    </w:p>
    <w:tbl>
      <w:tblPr>
        <w:tblStyle w:val="TableGrid"/>
        <w:tblW w:w="0" w:type="auto"/>
        <w:tblLook w:val="04A0" w:firstRow="1" w:lastRow="0" w:firstColumn="1" w:lastColumn="0" w:noHBand="0" w:noVBand="1"/>
      </w:tblPr>
      <w:tblGrid>
        <w:gridCol w:w="1177"/>
        <w:gridCol w:w="1086"/>
        <w:gridCol w:w="1418"/>
        <w:gridCol w:w="1355"/>
        <w:gridCol w:w="1355"/>
        <w:gridCol w:w="1355"/>
        <w:gridCol w:w="1355"/>
        <w:gridCol w:w="1355"/>
      </w:tblGrid>
      <w:tr w:rsidR="00A97E53" w:rsidRPr="00B577A8" w14:paraId="1236A8F0" w14:textId="77777777" w:rsidTr="004D787C">
        <w:tc>
          <w:tcPr>
            <w:tcW w:w="1177" w:type="dxa"/>
          </w:tcPr>
          <w:p w14:paraId="0E9CC32F" w14:textId="31FD2084" w:rsidR="00A97E53" w:rsidRPr="00B577A8" w:rsidRDefault="00A97E53" w:rsidP="004D787C">
            <w:pPr>
              <w:pStyle w:val="Normaltable"/>
            </w:pPr>
            <w:r w:rsidRPr="00B577A8">
              <w:t xml:space="preserve">Police </w:t>
            </w:r>
          </w:p>
        </w:tc>
        <w:tc>
          <w:tcPr>
            <w:tcW w:w="1086" w:type="dxa"/>
          </w:tcPr>
          <w:p w14:paraId="2EF89254" w14:textId="22459649" w:rsidR="00A97E53" w:rsidRPr="00B577A8" w:rsidRDefault="00A97E53" w:rsidP="004D787C">
            <w:pPr>
              <w:pStyle w:val="Normaltable"/>
            </w:pPr>
            <w:r w:rsidRPr="00B577A8">
              <w:t xml:space="preserve">Average age </w:t>
            </w:r>
            <w:r w:rsidR="00F0219E" w:rsidRPr="004D787C">
              <w:t>42</w:t>
            </w:r>
          </w:p>
        </w:tc>
        <w:tc>
          <w:tcPr>
            <w:tcW w:w="1418" w:type="dxa"/>
          </w:tcPr>
          <w:p w14:paraId="11127975" w14:textId="7C252F43" w:rsidR="00A97E53" w:rsidRPr="00B577A8" w:rsidRDefault="00B577A8" w:rsidP="004D787C">
            <w:pPr>
              <w:pStyle w:val="Normaltable"/>
            </w:pPr>
            <w:r w:rsidRPr="004D787C">
              <w:t>4.0</w:t>
            </w:r>
            <w:r w:rsidR="00A97E53" w:rsidRPr="00B577A8">
              <w:t>% 2</w:t>
            </w:r>
            <w:r w:rsidRPr="004D787C">
              <w:t xml:space="preserve">4 </w:t>
            </w:r>
            <w:r w:rsidR="0049230D" w:rsidRPr="00B577A8">
              <w:t>years of age</w:t>
            </w:r>
            <w:r w:rsidR="0049230D" w:rsidRPr="004D787C">
              <w:t xml:space="preserve"> </w:t>
            </w:r>
            <w:r w:rsidRPr="004D787C">
              <w:t>and under</w:t>
            </w:r>
            <w:r w:rsidR="00A97E53" w:rsidRPr="00B577A8">
              <w:t xml:space="preserve"> </w:t>
            </w:r>
          </w:p>
        </w:tc>
        <w:tc>
          <w:tcPr>
            <w:tcW w:w="1355" w:type="dxa"/>
          </w:tcPr>
          <w:p w14:paraId="0CCA4849" w14:textId="468C2696" w:rsidR="00A97E53" w:rsidRPr="00B577A8" w:rsidRDefault="00B577A8" w:rsidP="004D787C">
            <w:pPr>
              <w:pStyle w:val="Normaltable"/>
            </w:pPr>
            <w:r w:rsidRPr="004D787C">
              <w:t>23.3</w:t>
            </w:r>
            <w:r w:rsidR="00A97E53" w:rsidRPr="00B577A8">
              <w:t>% 25 to 34 years of age</w:t>
            </w:r>
          </w:p>
        </w:tc>
        <w:tc>
          <w:tcPr>
            <w:tcW w:w="1355" w:type="dxa"/>
          </w:tcPr>
          <w:p w14:paraId="4743D6A3" w14:textId="09B11380" w:rsidR="00A97E53" w:rsidRPr="00B577A8" w:rsidRDefault="00B577A8" w:rsidP="004D787C">
            <w:pPr>
              <w:pStyle w:val="Normaltable"/>
            </w:pPr>
            <w:r w:rsidRPr="004D787C">
              <w:t>28.2</w:t>
            </w:r>
            <w:r w:rsidR="00A97E53" w:rsidRPr="00B577A8">
              <w:t>% 35 to 44 years of age</w:t>
            </w:r>
          </w:p>
        </w:tc>
        <w:tc>
          <w:tcPr>
            <w:tcW w:w="1355" w:type="dxa"/>
          </w:tcPr>
          <w:p w14:paraId="108DF4F3" w14:textId="6945C228" w:rsidR="00A97E53" w:rsidRPr="00B577A8" w:rsidRDefault="00B577A8" w:rsidP="004D787C">
            <w:pPr>
              <w:pStyle w:val="Normaltable"/>
            </w:pPr>
            <w:r w:rsidRPr="004D787C">
              <w:t>32.4</w:t>
            </w:r>
            <w:r w:rsidR="00A97E53" w:rsidRPr="00B577A8">
              <w:t>% 45 to 54 years of age</w:t>
            </w:r>
          </w:p>
        </w:tc>
        <w:tc>
          <w:tcPr>
            <w:tcW w:w="1355" w:type="dxa"/>
          </w:tcPr>
          <w:p w14:paraId="30FAB790" w14:textId="34365C43" w:rsidR="00A97E53" w:rsidRPr="00B577A8" w:rsidRDefault="00B577A8" w:rsidP="004D787C">
            <w:pPr>
              <w:pStyle w:val="Normaltable"/>
            </w:pPr>
            <w:r w:rsidRPr="004D787C">
              <w:t>12.1</w:t>
            </w:r>
            <w:r w:rsidR="00A97E53" w:rsidRPr="00B577A8">
              <w:t>% 55 to 64 years of age</w:t>
            </w:r>
          </w:p>
        </w:tc>
        <w:tc>
          <w:tcPr>
            <w:tcW w:w="1355" w:type="dxa"/>
          </w:tcPr>
          <w:p w14:paraId="1D60EC60" w14:textId="52E139A6" w:rsidR="00A97E53" w:rsidRPr="00B577A8" w:rsidRDefault="0049230D" w:rsidP="004D787C">
            <w:pPr>
              <w:pStyle w:val="Normaltable"/>
            </w:pPr>
            <w:r>
              <w:t xml:space="preserve">Less than </w:t>
            </w:r>
            <w:r w:rsidR="00B577A8" w:rsidRPr="004D787C">
              <w:t>0.</w:t>
            </w:r>
            <w:r>
              <w:t>1</w:t>
            </w:r>
            <w:r w:rsidR="00A97E53" w:rsidRPr="00B577A8">
              <w:t xml:space="preserve">% 65 </w:t>
            </w:r>
            <w:r w:rsidRPr="00B577A8">
              <w:t>years of age</w:t>
            </w:r>
            <w:r w:rsidRPr="004D787C">
              <w:t xml:space="preserve"> </w:t>
            </w:r>
            <w:r w:rsidR="00B577A8" w:rsidRPr="004D787C">
              <w:t xml:space="preserve">and over </w:t>
            </w:r>
          </w:p>
        </w:tc>
      </w:tr>
      <w:tr w:rsidR="00B577A8" w:rsidRPr="00B577A8" w14:paraId="15CED1D5" w14:textId="77777777" w:rsidTr="004D787C">
        <w:tc>
          <w:tcPr>
            <w:tcW w:w="1177" w:type="dxa"/>
          </w:tcPr>
          <w:p w14:paraId="1EDCD40D" w14:textId="3075081C" w:rsidR="00B577A8" w:rsidRPr="00B577A8" w:rsidRDefault="00B577A8" w:rsidP="004D787C">
            <w:pPr>
              <w:pStyle w:val="Normaltable"/>
            </w:pPr>
            <w:r w:rsidRPr="00B577A8">
              <w:t xml:space="preserve">Staff </w:t>
            </w:r>
          </w:p>
        </w:tc>
        <w:tc>
          <w:tcPr>
            <w:tcW w:w="1086" w:type="dxa"/>
          </w:tcPr>
          <w:p w14:paraId="18BFC061" w14:textId="2FC4C78D" w:rsidR="00B577A8" w:rsidRPr="00B577A8" w:rsidRDefault="00B577A8" w:rsidP="004D787C">
            <w:pPr>
              <w:pStyle w:val="Normaltable"/>
            </w:pPr>
            <w:r w:rsidRPr="00B577A8">
              <w:t xml:space="preserve">Average age </w:t>
            </w:r>
            <w:r w:rsidRPr="004D787C">
              <w:t>44</w:t>
            </w:r>
          </w:p>
        </w:tc>
        <w:tc>
          <w:tcPr>
            <w:tcW w:w="1418" w:type="dxa"/>
          </w:tcPr>
          <w:p w14:paraId="0F4411EC" w14:textId="1C04FF0A" w:rsidR="00B577A8" w:rsidRPr="00B577A8" w:rsidRDefault="00B577A8" w:rsidP="004D787C">
            <w:pPr>
              <w:pStyle w:val="Normaltable"/>
            </w:pPr>
            <w:r w:rsidRPr="004D787C">
              <w:t>5.8</w:t>
            </w:r>
            <w:r w:rsidRPr="00B577A8">
              <w:t xml:space="preserve">% </w:t>
            </w:r>
            <w:r w:rsidRPr="004D787C">
              <w:t xml:space="preserve">24 </w:t>
            </w:r>
            <w:r w:rsidR="0049230D" w:rsidRPr="00B577A8">
              <w:t>years of age</w:t>
            </w:r>
            <w:r w:rsidR="0049230D" w:rsidRPr="004D787C">
              <w:t xml:space="preserve"> and under</w:t>
            </w:r>
          </w:p>
        </w:tc>
        <w:tc>
          <w:tcPr>
            <w:tcW w:w="1355" w:type="dxa"/>
          </w:tcPr>
          <w:p w14:paraId="4170458E" w14:textId="08707A9C" w:rsidR="00B577A8" w:rsidRPr="00B577A8" w:rsidRDefault="00B577A8" w:rsidP="004D787C">
            <w:pPr>
              <w:pStyle w:val="Normaltable"/>
            </w:pPr>
            <w:r w:rsidRPr="004D787C">
              <w:t>21.7</w:t>
            </w:r>
            <w:r w:rsidRPr="00B577A8">
              <w:t>% 25 to 34 years of age</w:t>
            </w:r>
          </w:p>
        </w:tc>
        <w:tc>
          <w:tcPr>
            <w:tcW w:w="1355" w:type="dxa"/>
          </w:tcPr>
          <w:p w14:paraId="0B29229E" w14:textId="5E1C57E9" w:rsidR="00B577A8" w:rsidRPr="00B577A8" w:rsidRDefault="00B577A8" w:rsidP="004D787C">
            <w:pPr>
              <w:pStyle w:val="Normaltable"/>
            </w:pPr>
            <w:r w:rsidRPr="004D787C">
              <w:t>21.4</w:t>
            </w:r>
            <w:r w:rsidRPr="00B577A8">
              <w:t>% 35 to 44 years of age</w:t>
            </w:r>
          </w:p>
        </w:tc>
        <w:tc>
          <w:tcPr>
            <w:tcW w:w="1355" w:type="dxa"/>
          </w:tcPr>
          <w:p w14:paraId="4421CC8F" w14:textId="00656A0D" w:rsidR="00B577A8" w:rsidRPr="00B577A8" w:rsidRDefault="00B577A8" w:rsidP="004D787C">
            <w:pPr>
              <w:pStyle w:val="Normaltable"/>
            </w:pPr>
            <w:r w:rsidRPr="004D787C">
              <w:t>25.0</w:t>
            </w:r>
            <w:r w:rsidRPr="00B577A8">
              <w:t>% 45 to 54 years of age</w:t>
            </w:r>
          </w:p>
        </w:tc>
        <w:tc>
          <w:tcPr>
            <w:tcW w:w="1355" w:type="dxa"/>
          </w:tcPr>
          <w:p w14:paraId="5FB15686" w14:textId="4DA2377C" w:rsidR="00B577A8" w:rsidRPr="00B577A8" w:rsidRDefault="00B577A8" w:rsidP="004D787C">
            <w:pPr>
              <w:pStyle w:val="Normaltable"/>
            </w:pPr>
            <w:r w:rsidRPr="004D787C">
              <w:t>21.4</w:t>
            </w:r>
            <w:r w:rsidRPr="00B577A8">
              <w:t>% 55 to 64 years of age</w:t>
            </w:r>
          </w:p>
        </w:tc>
        <w:tc>
          <w:tcPr>
            <w:tcW w:w="1355" w:type="dxa"/>
          </w:tcPr>
          <w:p w14:paraId="315144F2" w14:textId="6FB87717" w:rsidR="00B577A8" w:rsidRPr="00B577A8" w:rsidRDefault="00B577A8" w:rsidP="004D787C">
            <w:pPr>
              <w:pStyle w:val="Normaltable"/>
            </w:pPr>
            <w:r w:rsidRPr="004D787C">
              <w:t xml:space="preserve">4.8% 65 </w:t>
            </w:r>
            <w:r w:rsidR="0049230D" w:rsidRPr="00B577A8">
              <w:t>years of age</w:t>
            </w:r>
            <w:r w:rsidR="0049230D" w:rsidRPr="004D787C">
              <w:t xml:space="preserve"> and over</w:t>
            </w:r>
          </w:p>
        </w:tc>
      </w:tr>
      <w:tr w:rsidR="00B577A8" w:rsidRPr="00B577A8" w14:paraId="5C9F5F6C" w14:textId="77777777" w:rsidTr="004D787C">
        <w:tc>
          <w:tcPr>
            <w:tcW w:w="1177" w:type="dxa"/>
          </w:tcPr>
          <w:p w14:paraId="490C275D" w14:textId="0AEB131B" w:rsidR="00B577A8" w:rsidRPr="00B577A8" w:rsidRDefault="00B577A8" w:rsidP="004D787C">
            <w:pPr>
              <w:pStyle w:val="Normaltable"/>
            </w:pPr>
            <w:r w:rsidRPr="00B577A8">
              <w:t>Recruits</w:t>
            </w:r>
          </w:p>
        </w:tc>
        <w:tc>
          <w:tcPr>
            <w:tcW w:w="1086" w:type="dxa"/>
          </w:tcPr>
          <w:p w14:paraId="724EF96B" w14:textId="3436BBE2" w:rsidR="00B577A8" w:rsidRPr="00B577A8" w:rsidRDefault="00B577A8" w:rsidP="004D787C">
            <w:pPr>
              <w:pStyle w:val="Normaltable"/>
            </w:pPr>
            <w:r w:rsidRPr="00B577A8">
              <w:t xml:space="preserve">Average age </w:t>
            </w:r>
            <w:r w:rsidRPr="004D787C">
              <w:t>28</w:t>
            </w:r>
          </w:p>
        </w:tc>
        <w:tc>
          <w:tcPr>
            <w:tcW w:w="1418" w:type="dxa"/>
          </w:tcPr>
          <w:p w14:paraId="5AC36785" w14:textId="38EAA1BE" w:rsidR="00B577A8" w:rsidRPr="00B577A8" w:rsidRDefault="00B577A8" w:rsidP="004D787C">
            <w:pPr>
              <w:pStyle w:val="Normaltable"/>
            </w:pPr>
            <w:r w:rsidRPr="004D787C">
              <w:t>39.4</w:t>
            </w:r>
            <w:r w:rsidRPr="00B577A8">
              <w:t xml:space="preserve">% </w:t>
            </w:r>
            <w:r w:rsidRPr="004D787C">
              <w:t xml:space="preserve">24 </w:t>
            </w:r>
            <w:r w:rsidR="0049230D" w:rsidRPr="00B577A8">
              <w:t>years of age</w:t>
            </w:r>
            <w:r w:rsidR="0049230D" w:rsidRPr="004D787C">
              <w:t xml:space="preserve"> and under</w:t>
            </w:r>
          </w:p>
        </w:tc>
        <w:tc>
          <w:tcPr>
            <w:tcW w:w="1355" w:type="dxa"/>
          </w:tcPr>
          <w:p w14:paraId="156737A7" w14:textId="24BEAF9E" w:rsidR="00B577A8" w:rsidRPr="00B577A8" w:rsidRDefault="00B577A8" w:rsidP="004D787C">
            <w:pPr>
              <w:pStyle w:val="Normaltable"/>
            </w:pPr>
            <w:r w:rsidRPr="004D787C">
              <w:t>40.1</w:t>
            </w:r>
            <w:r w:rsidRPr="00B577A8">
              <w:t>% 25 to 34 years of age</w:t>
            </w:r>
          </w:p>
        </w:tc>
        <w:tc>
          <w:tcPr>
            <w:tcW w:w="1355" w:type="dxa"/>
          </w:tcPr>
          <w:p w14:paraId="33CECF72" w14:textId="42641811" w:rsidR="00B577A8" w:rsidRPr="00B577A8" w:rsidRDefault="00B577A8" w:rsidP="004D787C">
            <w:pPr>
              <w:pStyle w:val="Normaltable"/>
            </w:pPr>
            <w:r w:rsidRPr="004D787C">
              <w:t>15.7</w:t>
            </w:r>
            <w:r w:rsidRPr="00B577A8">
              <w:t>% 35 to 44 years of age</w:t>
            </w:r>
          </w:p>
        </w:tc>
        <w:tc>
          <w:tcPr>
            <w:tcW w:w="1355" w:type="dxa"/>
          </w:tcPr>
          <w:p w14:paraId="1FF910B9" w14:textId="14FC0B96" w:rsidR="00B577A8" w:rsidRPr="00B577A8" w:rsidRDefault="00B577A8" w:rsidP="004D787C">
            <w:pPr>
              <w:pStyle w:val="Normaltable"/>
            </w:pPr>
            <w:r w:rsidRPr="004D787C">
              <w:t>4.4</w:t>
            </w:r>
            <w:r w:rsidRPr="00B577A8">
              <w:t>% 45 to 54 years of age</w:t>
            </w:r>
          </w:p>
        </w:tc>
        <w:tc>
          <w:tcPr>
            <w:tcW w:w="1355" w:type="dxa"/>
          </w:tcPr>
          <w:p w14:paraId="3103478C" w14:textId="245530F1" w:rsidR="00B577A8" w:rsidRPr="00B577A8" w:rsidRDefault="00B577A8" w:rsidP="004D787C">
            <w:pPr>
              <w:pStyle w:val="Normaltable"/>
            </w:pPr>
            <w:r w:rsidRPr="004D787C">
              <w:t>0.4</w:t>
            </w:r>
            <w:r w:rsidRPr="00B577A8">
              <w:t>% 55 to 64 years of age</w:t>
            </w:r>
          </w:p>
        </w:tc>
        <w:tc>
          <w:tcPr>
            <w:tcW w:w="1355" w:type="dxa"/>
          </w:tcPr>
          <w:p w14:paraId="65DCA47E" w14:textId="1270106C" w:rsidR="00B577A8" w:rsidRPr="00B577A8" w:rsidRDefault="00B577A8" w:rsidP="004D787C">
            <w:pPr>
              <w:pStyle w:val="Normaltable"/>
            </w:pPr>
            <w:r w:rsidRPr="004D787C">
              <w:t xml:space="preserve">0.0% 65 </w:t>
            </w:r>
            <w:r w:rsidR="0049230D" w:rsidRPr="00B577A8">
              <w:t>years of age</w:t>
            </w:r>
            <w:r w:rsidR="0049230D" w:rsidRPr="004D787C">
              <w:t xml:space="preserve"> and over</w:t>
            </w:r>
          </w:p>
        </w:tc>
      </w:tr>
      <w:tr w:rsidR="00A97E53" w14:paraId="64AE358C" w14:textId="77777777" w:rsidTr="004D787C">
        <w:tc>
          <w:tcPr>
            <w:tcW w:w="1177" w:type="dxa"/>
          </w:tcPr>
          <w:p w14:paraId="587E3E1B" w14:textId="72C7167E" w:rsidR="00A97E53" w:rsidRPr="00B577A8" w:rsidRDefault="00A97E53" w:rsidP="004D787C">
            <w:pPr>
              <w:pStyle w:val="Normaltable"/>
            </w:pPr>
            <w:r w:rsidRPr="00B577A8">
              <w:t>Volunteers</w:t>
            </w:r>
          </w:p>
        </w:tc>
        <w:tc>
          <w:tcPr>
            <w:tcW w:w="1086" w:type="dxa"/>
          </w:tcPr>
          <w:p w14:paraId="7E216653" w14:textId="762D7756" w:rsidR="00A97E53" w:rsidRPr="00B577A8" w:rsidRDefault="00A97E53" w:rsidP="004D787C">
            <w:pPr>
              <w:pStyle w:val="Normaltable"/>
            </w:pPr>
            <w:r w:rsidRPr="00B577A8">
              <w:t xml:space="preserve">Average age </w:t>
            </w:r>
            <w:r w:rsidR="00F921CE" w:rsidRPr="00B577A8">
              <w:t>47</w:t>
            </w:r>
          </w:p>
        </w:tc>
        <w:tc>
          <w:tcPr>
            <w:tcW w:w="1418" w:type="dxa"/>
          </w:tcPr>
          <w:p w14:paraId="625F7A28" w14:textId="00D489FB" w:rsidR="00A97E53" w:rsidRPr="00B577A8" w:rsidRDefault="0086695D" w:rsidP="004D787C">
            <w:pPr>
              <w:pStyle w:val="Normaltable"/>
            </w:pPr>
            <w:r w:rsidRPr="004D787C">
              <w:t>12.1</w:t>
            </w:r>
            <w:r w:rsidR="00A97E53" w:rsidRPr="00B577A8">
              <w:t xml:space="preserve">% </w:t>
            </w:r>
            <w:r w:rsidR="00B577A8" w:rsidRPr="004D787C">
              <w:t xml:space="preserve">24 </w:t>
            </w:r>
            <w:r w:rsidR="0049230D" w:rsidRPr="00B577A8">
              <w:t>years of age</w:t>
            </w:r>
            <w:r w:rsidR="0049230D" w:rsidRPr="004D787C">
              <w:t xml:space="preserve"> and under</w:t>
            </w:r>
          </w:p>
        </w:tc>
        <w:tc>
          <w:tcPr>
            <w:tcW w:w="1355" w:type="dxa"/>
          </w:tcPr>
          <w:p w14:paraId="03DE420D" w14:textId="59B39ED1" w:rsidR="00A97E53" w:rsidRPr="00B577A8" w:rsidRDefault="0086695D" w:rsidP="004D787C">
            <w:pPr>
              <w:pStyle w:val="Normaltable"/>
            </w:pPr>
            <w:r w:rsidRPr="004D787C">
              <w:t>15.1</w:t>
            </w:r>
            <w:r w:rsidR="00A97E53" w:rsidRPr="00B577A8">
              <w:t>% 25 to 34 years of age</w:t>
            </w:r>
          </w:p>
        </w:tc>
        <w:tc>
          <w:tcPr>
            <w:tcW w:w="1355" w:type="dxa"/>
          </w:tcPr>
          <w:p w14:paraId="0098A752" w14:textId="5AE09BA7" w:rsidR="00A97E53" w:rsidRPr="00B577A8" w:rsidRDefault="0086695D" w:rsidP="004D787C">
            <w:pPr>
              <w:pStyle w:val="Normaltable"/>
            </w:pPr>
            <w:r w:rsidRPr="004D787C">
              <w:t>17.1</w:t>
            </w:r>
            <w:r w:rsidR="00A97E53" w:rsidRPr="00B577A8">
              <w:t>% 35 to 44 years of age</w:t>
            </w:r>
          </w:p>
        </w:tc>
        <w:tc>
          <w:tcPr>
            <w:tcW w:w="1355" w:type="dxa"/>
          </w:tcPr>
          <w:p w14:paraId="7B57A9E9" w14:textId="75C04CCD" w:rsidR="00A97E53" w:rsidRPr="00B577A8" w:rsidRDefault="0086695D" w:rsidP="004D787C">
            <w:pPr>
              <w:pStyle w:val="Normaltable"/>
            </w:pPr>
            <w:r w:rsidRPr="004D787C">
              <w:t>18.3</w:t>
            </w:r>
            <w:r w:rsidR="00A97E53" w:rsidRPr="00B577A8">
              <w:t>% 45 to 54 years of age</w:t>
            </w:r>
          </w:p>
        </w:tc>
        <w:tc>
          <w:tcPr>
            <w:tcW w:w="1355" w:type="dxa"/>
          </w:tcPr>
          <w:p w14:paraId="6D1E4787" w14:textId="6D4F4D54" w:rsidR="00A97E53" w:rsidRPr="00B577A8" w:rsidRDefault="0086695D" w:rsidP="004D787C">
            <w:pPr>
              <w:pStyle w:val="Normaltable"/>
            </w:pPr>
            <w:r w:rsidRPr="004D787C">
              <w:t>18.3</w:t>
            </w:r>
            <w:r w:rsidR="00A97E53" w:rsidRPr="00B577A8">
              <w:t>% 55 to 64 years of age</w:t>
            </w:r>
          </w:p>
        </w:tc>
        <w:tc>
          <w:tcPr>
            <w:tcW w:w="1355" w:type="dxa"/>
          </w:tcPr>
          <w:p w14:paraId="3DAB0366" w14:textId="65B0CE42" w:rsidR="00A97E53" w:rsidRPr="0086695D" w:rsidRDefault="0086695D" w:rsidP="004D787C">
            <w:pPr>
              <w:pStyle w:val="Normaltable"/>
            </w:pPr>
            <w:r w:rsidRPr="004D787C">
              <w:t>19.0</w:t>
            </w:r>
            <w:r w:rsidR="00A97E53" w:rsidRPr="00B577A8">
              <w:t xml:space="preserve">% </w:t>
            </w:r>
            <w:r w:rsidR="00B577A8" w:rsidRPr="004D787C">
              <w:t xml:space="preserve">65 </w:t>
            </w:r>
            <w:r w:rsidR="0049230D" w:rsidRPr="00B577A8">
              <w:t>years of age</w:t>
            </w:r>
            <w:r w:rsidR="0049230D" w:rsidRPr="004D787C">
              <w:t xml:space="preserve"> and over</w:t>
            </w:r>
          </w:p>
        </w:tc>
      </w:tr>
    </w:tbl>
    <w:p w14:paraId="22D47122" w14:textId="10042624" w:rsidR="00A97E53" w:rsidRDefault="00A97E53" w:rsidP="00A97E53">
      <w:pPr>
        <w:pStyle w:val="Heading2"/>
      </w:pPr>
      <w:r>
        <w:t>Diversity</w:t>
      </w:r>
      <w:r w:rsidR="00DF3D64">
        <w:t xml:space="preserve"> (our paid workforce)</w:t>
      </w:r>
    </w:p>
    <w:tbl>
      <w:tblPr>
        <w:tblStyle w:val="TableGrid"/>
        <w:tblW w:w="0" w:type="auto"/>
        <w:tblLook w:val="04A0" w:firstRow="1" w:lastRow="0" w:firstColumn="1" w:lastColumn="0" w:noHBand="0" w:noVBand="1"/>
      </w:tblPr>
      <w:tblGrid>
        <w:gridCol w:w="2614"/>
        <w:gridCol w:w="2614"/>
        <w:gridCol w:w="2614"/>
        <w:gridCol w:w="2614"/>
      </w:tblGrid>
      <w:tr w:rsidR="00A97E53" w14:paraId="64CC2664" w14:textId="77777777" w:rsidTr="00A97E53">
        <w:tc>
          <w:tcPr>
            <w:tcW w:w="2614" w:type="dxa"/>
          </w:tcPr>
          <w:p w14:paraId="554BAEF9" w14:textId="635B05CD" w:rsidR="00A97E53" w:rsidRDefault="00A97E53" w:rsidP="004D787C">
            <w:pPr>
              <w:pStyle w:val="Normaltable"/>
            </w:pPr>
            <w:r>
              <w:t>First Nations</w:t>
            </w:r>
          </w:p>
        </w:tc>
        <w:tc>
          <w:tcPr>
            <w:tcW w:w="2614" w:type="dxa"/>
          </w:tcPr>
          <w:p w14:paraId="53845DD3" w14:textId="244F3179" w:rsidR="00A97E53" w:rsidRDefault="0049230D" w:rsidP="004D787C">
            <w:pPr>
              <w:pStyle w:val="Normaltable"/>
            </w:pPr>
            <w:r>
              <w:t>4% o</w:t>
            </w:r>
            <w:r w:rsidR="00A97E53">
              <w:t>ur target</w:t>
            </w:r>
          </w:p>
        </w:tc>
        <w:tc>
          <w:tcPr>
            <w:tcW w:w="2614" w:type="dxa"/>
          </w:tcPr>
          <w:p w14:paraId="1810398D" w14:textId="7C194AD0" w:rsidR="00A97E53" w:rsidRDefault="0049230D" w:rsidP="004D787C">
            <w:pPr>
              <w:pStyle w:val="Normaltable"/>
            </w:pPr>
            <w:r>
              <w:t>2.7% o</w:t>
            </w:r>
            <w:r w:rsidR="00A97E53">
              <w:t>ur HR data</w:t>
            </w:r>
          </w:p>
        </w:tc>
        <w:tc>
          <w:tcPr>
            <w:tcW w:w="2614" w:type="dxa"/>
          </w:tcPr>
          <w:p w14:paraId="417C9E27" w14:textId="5DA8EB88" w:rsidR="00A97E53" w:rsidRDefault="0049230D" w:rsidP="004D787C">
            <w:pPr>
              <w:pStyle w:val="Normaltable"/>
            </w:pPr>
            <w:r>
              <w:t xml:space="preserve">3.6% our </w:t>
            </w:r>
            <w:r w:rsidR="00A97E53">
              <w:t>Working for Queensland 2024 results</w:t>
            </w:r>
          </w:p>
        </w:tc>
      </w:tr>
      <w:tr w:rsidR="00A97E53" w14:paraId="50730325" w14:textId="77777777" w:rsidTr="00A97E53">
        <w:tc>
          <w:tcPr>
            <w:tcW w:w="2614" w:type="dxa"/>
          </w:tcPr>
          <w:p w14:paraId="7AC56A78" w14:textId="145735CB" w:rsidR="00A97E53" w:rsidRDefault="00DF3D64" w:rsidP="00A97E53">
            <w:pPr>
              <w:pStyle w:val="Normaltable"/>
            </w:pPr>
            <w:r>
              <w:t xml:space="preserve">Non-operational </w:t>
            </w:r>
            <w:r w:rsidR="00F82D8E">
              <w:t>staff members</w:t>
            </w:r>
            <w:r>
              <w:t xml:space="preserve"> with disability</w:t>
            </w:r>
          </w:p>
        </w:tc>
        <w:tc>
          <w:tcPr>
            <w:tcW w:w="2614" w:type="dxa"/>
          </w:tcPr>
          <w:p w14:paraId="02928212" w14:textId="123F4A8F" w:rsidR="00A97E53" w:rsidRDefault="0049230D" w:rsidP="00A97E53">
            <w:pPr>
              <w:pStyle w:val="Normaltable"/>
            </w:pPr>
            <w:r>
              <w:t>6% o</w:t>
            </w:r>
            <w:r w:rsidR="00DF3D64">
              <w:t>ur targe</w:t>
            </w:r>
            <w:r>
              <w:t>t</w:t>
            </w:r>
          </w:p>
        </w:tc>
        <w:tc>
          <w:tcPr>
            <w:tcW w:w="2614" w:type="dxa"/>
          </w:tcPr>
          <w:p w14:paraId="4994A569" w14:textId="0C976CE3" w:rsidR="00A97E53" w:rsidRDefault="0049230D" w:rsidP="00A97E53">
            <w:pPr>
              <w:pStyle w:val="Normaltable"/>
            </w:pPr>
            <w:r>
              <w:t>4.8% o</w:t>
            </w:r>
            <w:r w:rsidR="00DF3D64">
              <w:t>ur HR data</w:t>
            </w:r>
          </w:p>
        </w:tc>
        <w:tc>
          <w:tcPr>
            <w:tcW w:w="2614" w:type="dxa"/>
          </w:tcPr>
          <w:p w14:paraId="669A81D0" w14:textId="1F08D4D2" w:rsidR="00A97E53" w:rsidRDefault="0049230D" w:rsidP="00A97E53">
            <w:pPr>
              <w:pStyle w:val="Normaltable"/>
            </w:pPr>
            <w:r>
              <w:t xml:space="preserve">11.3% our </w:t>
            </w:r>
            <w:r w:rsidR="00F82D8E">
              <w:t>Working for Queensland 2024 results</w:t>
            </w:r>
          </w:p>
        </w:tc>
      </w:tr>
      <w:tr w:rsidR="00F82D8E" w14:paraId="7349DF94" w14:textId="77777777" w:rsidTr="00A97E53">
        <w:tc>
          <w:tcPr>
            <w:tcW w:w="2614" w:type="dxa"/>
          </w:tcPr>
          <w:p w14:paraId="35D45737" w14:textId="6FF6D851" w:rsidR="00F82D8E" w:rsidRDefault="00F82D8E" w:rsidP="00A97E53">
            <w:pPr>
              <w:pStyle w:val="Normaltable"/>
            </w:pPr>
            <w:r>
              <w:t>Culturally and linguistically diverse</w:t>
            </w:r>
          </w:p>
        </w:tc>
        <w:tc>
          <w:tcPr>
            <w:tcW w:w="2614" w:type="dxa"/>
          </w:tcPr>
          <w:p w14:paraId="2E22B4FE" w14:textId="40A3B6F4" w:rsidR="00F82D8E" w:rsidRDefault="0049230D" w:rsidP="00A97E53">
            <w:pPr>
              <w:pStyle w:val="Normaltable"/>
            </w:pPr>
            <w:r>
              <w:t>8% o</w:t>
            </w:r>
            <w:r w:rsidR="00F82D8E">
              <w:t>ur target</w:t>
            </w:r>
          </w:p>
        </w:tc>
        <w:tc>
          <w:tcPr>
            <w:tcW w:w="2614" w:type="dxa"/>
          </w:tcPr>
          <w:p w14:paraId="04865037" w14:textId="051125D2" w:rsidR="00F82D8E" w:rsidRDefault="0049230D" w:rsidP="00A97E53">
            <w:pPr>
              <w:pStyle w:val="Normaltable"/>
            </w:pPr>
            <w:r>
              <w:t>8.0% o</w:t>
            </w:r>
            <w:r w:rsidR="00F82D8E">
              <w:t>ur HR data</w:t>
            </w:r>
          </w:p>
        </w:tc>
        <w:tc>
          <w:tcPr>
            <w:tcW w:w="2614" w:type="dxa"/>
          </w:tcPr>
          <w:p w14:paraId="2FBFFC96" w14:textId="34ACAEBA" w:rsidR="00F82D8E" w:rsidRDefault="0049230D" w:rsidP="00A97E53">
            <w:pPr>
              <w:pStyle w:val="Normaltable"/>
            </w:pPr>
            <w:r>
              <w:t xml:space="preserve">19.1% our </w:t>
            </w:r>
            <w:r w:rsidR="00F82D8E">
              <w:t>Working for Queensland 2024 results</w:t>
            </w:r>
          </w:p>
        </w:tc>
      </w:tr>
      <w:tr w:rsidR="00514BF2" w14:paraId="63A3B821" w14:textId="77777777" w:rsidTr="00A97E53">
        <w:tc>
          <w:tcPr>
            <w:tcW w:w="2614" w:type="dxa"/>
          </w:tcPr>
          <w:p w14:paraId="50834CF4" w14:textId="5719D000" w:rsidR="00514BF2" w:rsidRDefault="00514BF2" w:rsidP="00A97E53">
            <w:pPr>
              <w:pStyle w:val="Normaltable"/>
            </w:pPr>
            <w:r>
              <w:t>Women in leadership</w:t>
            </w:r>
          </w:p>
        </w:tc>
        <w:tc>
          <w:tcPr>
            <w:tcW w:w="2614" w:type="dxa"/>
          </w:tcPr>
          <w:p w14:paraId="582C1FA8" w14:textId="28E8741C" w:rsidR="00514BF2" w:rsidRDefault="0049230D" w:rsidP="00A97E53">
            <w:pPr>
              <w:pStyle w:val="Normaltable"/>
            </w:pPr>
            <w:r>
              <w:t>30% o</w:t>
            </w:r>
            <w:r w:rsidR="00514BF2">
              <w:t>ur target</w:t>
            </w:r>
          </w:p>
        </w:tc>
        <w:tc>
          <w:tcPr>
            <w:tcW w:w="2614" w:type="dxa"/>
          </w:tcPr>
          <w:p w14:paraId="2FC742E7" w14:textId="13DA2D07" w:rsidR="00514BF2" w:rsidRDefault="0049230D" w:rsidP="00A97E53">
            <w:pPr>
              <w:pStyle w:val="Normaltable"/>
            </w:pPr>
            <w:r>
              <w:t>32.3% o</w:t>
            </w:r>
            <w:r w:rsidR="00514BF2">
              <w:t>ur HR data</w:t>
            </w:r>
          </w:p>
        </w:tc>
        <w:tc>
          <w:tcPr>
            <w:tcW w:w="2614" w:type="dxa"/>
          </w:tcPr>
          <w:p w14:paraId="0A5E6DB7" w14:textId="7F8D198D" w:rsidR="00514BF2" w:rsidRDefault="00514BF2" w:rsidP="00A97E53">
            <w:pPr>
              <w:pStyle w:val="Normaltable"/>
            </w:pPr>
          </w:p>
        </w:tc>
      </w:tr>
    </w:tbl>
    <w:p w14:paraId="04C601E9" w14:textId="35B315E6" w:rsidR="003B6124" w:rsidRPr="004D787C" w:rsidRDefault="00982B3D" w:rsidP="00982B3D">
      <w:pPr>
        <w:pStyle w:val="Heading1"/>
      </w:pPr>
      <w:r>
        <w:t>Queensland Police Service Strategic Plan 2025-2029</w:t>
      </w:r>
    </w:p>
    <w:p w14:paraId="606AD3D9" w14:textId="73C6E2F6" w:rsidR="003B6124" w:rsidRPr="00752826" w:rsidRDefault="003B6124" w:rsidP="00982B3D">
      <w:pPr>
        <w:pStyle w:val="Heading2"/>
      </w:pPr>
      <w:r w:rsidRPr="00752826">
        <w:t>Healthy and engaged workforce</w:t>
      </w:r>
      <w:r w:rsidR="005F5315" w:rsidRPr="00752826">
        <w:t xml:space="preserve"> </w:t>
      </w:r>
    </w:p>
    <w:p w14:paraId="5D5968F3" w14:textId="3499E97F" w:rsidR="003B6124" w:rsidRPr="00752826" w:rsidRDefault="003B6124" w:rsidP="00F0219E">
      <w:r w:rsidRPr="00752826">
        <w:t>Build an engaged and capable workforce with health, safety and wellbeing of our people a priority.</w:t>
      </w:r>
    </w:p>
    <w:p w14:paraId="562F9C8B" w14:textId="48ABB024" w:rsidR="003B6124" w:rsidRPr="00752826" w:rsidRDefault="003B6124" w:rsidP="004D787C">
      <w:pPr>
        <w:pStyle w:val="DP1"/>
      </w:pPr>
      <w:r w:rsidRPr="00752826">
        <w:lastRenderedPageBreak/>
        <w:t>Keep our people safe and feeling supported</w:t>
      </w:r>
      <w:r w:rsidR="008A54E5" w:rsidRPr="00752826">
        <w:t>, embedding a shared responsibility for prioritising wellbeing</w:t>
      </w:r>
      <w:r w:rsidRPr="00752826">
        <w:t>.</w:t>
      </w:r>
    </w:p>
    <w:p w14:paraId="4D4DE129" w14:textId="4748AD74" w:rsidR="003B6124" w:rsidRPr="00752826" w:rsidRDefault="003B6124" w:rsidP="004D787C">
      <w:pPr>
        <w:pStyle w:val="DP1"/>
      </w:pPr>
      <w:r w:rsidRPr="00752826">
        <w:t>Grow a capable workforce that represents and understands the community we serve.</w:t>
      </w:r>
    </w:p>
    <w:p w14:paraId="6AF5986B" w14:textId="26EC1982" w:rsidR="003B6124" w:rsidRPr="00752826" w:rsidRDefault="003B6124" w:rsidP="004D787C">
      <w:pPr>
        <w:pStyle w:val="DP1"/>
      </w:pPr>
      <w:r w:rsidRPr="00752826">
        <w:t>Develop authentic leaders who empower and engage our people.</w:t>
      </w:r>
    </w:p>
    <w:p w14:paraId="0C8F62EB" w14:textId="46DF243F" w:rsidR="003B6124" w:rsidRPr="00752826" w:rsidRDefault="000B3C6B" w:rsidP="004D787C">
      <w:pPr>
        <w:pStyle w:val="DP1"/>
      </w:pPr>
      <w:r w:rsidRPr="00752826">
        <w:t xml:space="preserve">Build a more connected and inclusive workplace that reflects our values. </w:t>
      </w:r>
    </w:p>
    <w:p w14:paraId="58091BED" w14:textId="77777777" w:rsidR="00527234" w:rsidRPr="004D787C" w:rsidRDefault="00527234" w:rsidP="00982B3D">
      <w:pPr>
        <w:pStyle w:val="Heading1"/>
      </w:pPr>
      <w:r w:rsidRPr="004D787C">
        <w:t>How we will support delivery of our objectives</w:t>
      </w:r>
    </w:p>
    <w:p w14:paraId="708128BD" w14:textId="77777777" w:rsidR="00527234" w:rsidRPr="00752826" w:rsidRDefault="00527234" w:rsidP="00527234">
      <w:pPr>
        <w:pStyle w:val="Heading2"/>
        <w:rPr>
          <w:szCs w:val="24"/>
        </w:rPr>
      </w:pPr>
      <w:r w:rsidRPr="00752826">
        <w:rPr>
          <w:szCs w:val="24"/>
        </w:rPr>
        <w:t>Our work</w:t>
      </w:r>
    </w:p>
    <w:p w14:paraId="2604CC1A" w14:textId="6985CBB8" w:rsidR="00527234" w:rsidRPr="00752826" w:rsidRDefault="00527234" w:rsidP="00F0219E">
      <w:r w:rsidRPr="00752826">
        <w:t xml:space="preserve">Our ways of working inspire trust. </w:t>
      </w:r>
    </w:p>
    <w:p w14:paraId="2116DB96" w14:textId="7327BCBB" w:rsidR="00527234" w:rsidRPr="00752826" w:rsidRDefault="00865ECB" w:rsidP="00865ECB">
      <w:pPr>
        <w:pStyle w:val="DP1"/>
        <w:numPr>
          <w:ilvl w:val="0"/>
          <w:numId w:val="0"/>
        </w:numPr>
        <w:ind w:left="426" w:hanging="426"/>
      </w:pPr>
      <w:r w:rsidRPr="00865ECB">
        <w:rPr>
          <w:b/>
          <w:bCs w:val="0"/>
        </w:rPr>
        <w:t>A1.</w:t>
      </w:r>
      <w:r>
        <w:tab/>
      </w:r>
      <w:r w:rsidR="00527234" w:rsidRPr="00752826">
        <w:t>Building our capability to deliver better services.</w:t>
      </w:r>
    </w:p>
    <w:p w14:paraId="04F2D0AE" w14:textId="0F8C0C20" w:rsidR="00527234" w:rsidRPr="00752826" w:rsidRDefault="00865ECB" w:rsidP="00865ECB">
      <w:pPr>
        <w:pStyle w:val="DP1"/>
        <w:numPr>
          <w:ilvl w:val="0"/>
          <w:numId w:val="0"/>
        </w:numPr>
        <w:ind w:left="426" w:hanging="426"/>
      </w:pPr>
      <w:r w:rsidRPr="00865ECB">
        <w:rPr>
          <w:b/>
          <w:bCs w:val="0"/>
        </w:rPr>
        <w:t>A</w:t>
      </w:r>
      <w:r>
        <w:rPr>
          <w:b/>
          <w:bCs w:val="0"/>
        </w:rPr>
        <w:t>2</w:t>
      </w:r>
      <w:r w:rsidRPr="00865ECB">
        <w:rPr>
          <w:b/>
          <w:bCs w:val="0"/>
        </w:rPr>
        <w:t>.</w:t>
      </w:r>
      <w:r>
        <w:tab/>
      </w:r>
      <w:r w:rsidR="00527234" w:rsidRPr="00752826">
        <w:t>Strengthen</w:t>
      </w:r>
      <w:r w:rsidR="007824D6" w:rsidRPr="00752826">
        <w:t>ing</w:t>
      </w:r>
      <w:r w:rsidR="00527234" w:rsidRPr="00752826">
        <w:t xml:space="preserve"> partnerships across</w:t>
      </w:r>
      <w:r w:rsidR="007824D6" w:rsidRPr="00752826">
        <w:t xml:space="preserve"> government, private sector and community.</w:t>
      </w:r>
      <w:r w:rsidR="00527234" w:rsidRPr="00752826">
        <w:t xml:space="preserve"> </w:t>
      </w:r>
    </w:p>
    <w:p w14:paraId="4485F007" w14:textId="19814A51" w:rsidR="00865ECB" w:rsidRDefault="00865ECB" w:rsidP="00865ECB">
      <w:pPr>
        <w:pStyle w:val="DP1"/>
        <w:numPr>
          <w:ilvl w:val="0"/>
          <w:numId w:val="0"/>
        </w:numPr>
        <w:ind w:left="426" w:hanging="426"/>
      </w:pPr>
      <w:r w:rsidRPr="00865ECB">
        <w:rPr>
          <w:b/>
          <w:bCs w:val="0"/>
        </w:rPr>
        <w:t>A</w:t>
      </w:r>
      <w:r>
        <w:rPr>
          <w:b/>
          <w:bCs w:val="0"/>
        </w:rPr>
        <w:t>3</w:t>
      </w:r>
      <w:r w:rsidRPr="00865ECB">
        <w:rPr>
          <w:b/>
          <w:bCs w:val="0"/>
        </w:rPr>
        <w:t>.</w:t>
      </w:r>
      <w:r>
        <w:tab/>
      </w:r>
      <w:r w:rsidR="00527234" w:rsidRPr="00752826">
        <w:t>Leveraging opportunities and emerging technology</w:t>
      </w:r>
      <w:r w:rsidR="007824D6" w:rsidRPr="00752826">
        <w:t>.</w:t>
      </w:r>
      <w:r w:rsidR="00527234" w:rsidRPr="00752826">
        <w:t xml:space="preserve"> </w:t>
      </w:r>
    </w:p>
    <w:p w14:paraId="0D4CCCD7" w14:textId="52802EB4" w:rsidR="00527234" w:rsidRPr="00752826" w:rsidRDefault="00865ECB" w:rsidP="00865ECB">
      <w:pPr>
        <w:pStyle w:val="DP1"/>
        <w:numPr>
          <w:ilvl w:val="0"/>
          <w:numId w:val="0"/>
        </w:numPr>
        <w:ind w:left="426" w:hanging="426"/>
      </w:pPr>
      <w:r w:rsidRPr="00865ECB">
        <w:rPr>
          <w:b/>
          <w:bCs w:val="0"/>
        </w:rPr>
        <w:t>A</w:t>
      </w:r>
      <w:r>
        <w:rPr>
          <w:b/>
          <w:bCs w:val="0"/>
        </w:rPr>
        <w:t>4</w:t>
      </w:r>
      <w:r w:rsidRPr="00865ECB">
        <w:rPr>
          <w:b/>
          <w:bCs w:val="0"/>
        </w:rPr>
        <w:t>.</w:t>
      </w:r>
      <w:r>
        <w:tab/>
      </w:r>
      <w:r w:rsidR="007824D6" w:rsidRPr="00752826">
        <w:t xml:space="preserve">Developing insights through smarter use of research, analytics and intelligence. </w:t>
      </w:r>
    </w:p>
    <w:p w14:paraId="565B11C5" w14:textId="5F0A4216" w:rsidR="00527234" w:rsidRPr="00752826" w:rsidRDefault="00527234" w:rsidP="00527234">
      <w:pPr>
        <w:pStyle w:val="Heading2"/>
        <w:rPr>
          <w:szCs w:val="24"/>
        </w:rPr>
      </w:pPr>
      <w:r w:rsidRPr="00752826">
        <w:rPr>
          <w:szCs w:val="24"/>
        </w:rPr>
        <w:t>Our workforce</w:t>
      </w:r>
    </w:p>
    <w:p w14:paraId="7EC59F35" w14:textId="5B9128DB" w:rsidR="00527234" w:rsidRPr="00752826" w:rsidRDefault="00527234" w:rsidP="00F0219E">
      <w:r w:rsidRPr="00752826">
        <w:t>Our people are ready to meet any challenge</w:t>
      </w:r>
      <w:r w:rsidR="007824D6" w:rsidRPr="00752826">
        <w:t>.</w:t>
      </w:r>
      <w:r w:rsidRPr="00752826">
        <w:t xml:space="preserve"> </w:t>
      </w:r>
    </w:p>
    <w:p w14:paraId="7E79C2FD" w14:textId="6A2C7A95" w:rsidR="00527234" w:rsidRPr="00752826" w:rsidRDefault="00865ECB" w:rsidP="00865ECB">
      <w:pPr>
        <w:pStyle w:val="DP1"/>
        <w:numPr>
          <w:ilvl w:val="0"/>
          <w:numId w:val="0"/>
        </w:numPr>
        <w:ind w:left="426" w:hanging="426"/>
      </w:pPr>
      <w:r>
        <w:rPr>
          <w:b/>
          <w:bCs w:val="0"/>
        </w:rPr>
        <w:t>B1.</w:t>
      </w:r>
      <w:r>
        <w:rPr>
          <w:b/>
          <w:bCs w:val="0"/>
        </w:rPr>
        <w:tab/>
      </w:r>
      <w:r w:rsidR="00527234" w:rsidRPr="00752826">
        <w:t>Developing authentic leadership that reflects the community we serve.</w:t>
      </w:r>
    </w:p>
    <w:p w14:paraId="203A652A" w14:textId="6C11D752" w:rsidR="00527234" w:rsidRPr="00752826" w:rsidRDefault="00865ECB" w:rsidP="00865ECB">
      <w:pPr>
        <w:pStyle w:val="DP1"/>
        <w:numPr>
          <w:ilvl w:val="0"/>
          <w:numId w:val="0"/>
        </w:numPr>
        <w:ind w:left="426" w:hanging="426"/>
      </w:pPr>
      <w:r>
        <w:rPr>
          <w:b/>
          <w:bCs w:val="0"/>
        </w:rPr>
        <w:t>B2.</w:t>
      </w:r>
      <w:r>
        <w:rPr>
          <w:b/>
          <w:bCs w:val="0"/>
        </w:rPr>
        <w:tab/>
      </w:r>
      <w:r w:rsidR="00527234" w:rsidRPr="00752826">
        <w:t>Empowering our people with opportunities to embrace continual learning.</w:t>
      </w:r>
    </w:p>
    <w:p w14:paraId="7B47BC78" w14:textId="1E800971" w:rsidR="00527234" w:rsidRPr="00752826" w:rsidRDefault="00865ECB" w:rsidP="00865ECB">
      <w:pPr>
        <w:pStyle w:val="DP1"/>
        <w:numPr>
          <w:ilvl w:val="0"/>
          <w:numId w:val="0"/>
        </w:numPr>
        <w:ind w:left="426" w:hanging="426"/>
      </w:pPr>
      <w:r>
        <w:rPr>
          <w:b/>
          <w:bCs w:val="0"/>
        </w:rPr>
        <w:t>B3.</w:t>
      </w:r>
      <w:r>
        <w:rPr>
          <w:b/>
          <w:bCs w:val="0"/>
        </w:rPr>
        <w:tab/>
      </w:r>
      <w:r w:rsidR="00527234" w:rsidRPr="00752826">
        <w:t xml:space="preserve">Strengthening our recruitment and retention strategies to attract and support diverse talent and expertise. </w:t>
      </w:r>
    </w:p>
    <w:p w14:paraId="0A163AFD" w14:textId="0B1A17D9" w:rsidR="00527234" w:rsidRPr="00752826" w:rsidRDefault="00865ECB" w:rsidP="00865ECB">
      <w:pPr>
        <w:pStyle w:val="DP1"/>
        <w:numPr>
          <w:ilvl w:val="0"/>
          <w:numId w:val="0"/>
        </w:numPr>
        <w:ind w:left="426" w:hanging="426"/>
      </w:pPr>
      <w:r>
        <w:rPr>
          <w:b/>
          <w:bCs w:val="0"/>
        </w:rPr>
        <w:t>B4.</w:t>
      </w:r>
      <w:r>
        <w:rPr>
          <w:b/>
          <w:bCs w:val="0"/>
        </w:rPr>
        <w:tab/>
      </w:r>
      <w:r w:rsidR="00155491" w:rsidRPr="00752826">
        <w:t xml:space="preserve">Enhancing our </w:t>
      </w:r>
      <w:r w:rsidR="007824D6" w:rsidRPr="00752826">
        <w:t>development and performance</w:t>
      </w:r>
      <w:r w:rsidR="00155491" w:rsidRPr="00752826">
        <w:t xml:space="preserve"> management</w:t>
      </w:r>
      <w:r w:rsidR="007824D6" w:rsidRPr="00752826">
        <w:t xml:space="preserve"> framework</w:t>
      </w:r>
      <w:r w:rsidR="00155491" w:rsidRPr="00752826">
        <w:t xml:space="preserve">. </w:t>
      </w:r>
    </w:p>
    <w:p w14:paraId="11E1A4E6" w14:textId="77777777" w:rsidR="00527234" w:rsidRPr="00752826" w:rsidRDefault="00527234" w:rsidP="00527234">
      <w:pPr>
        <w:pStyle w:val="Heading2"/>
        <w:rPr>
          <w:szCs w:val="24"/>
        </w:rPr>
      </w:pPr>
      <w:r w:rsidRPr="00752826">
        <w:rPr>
          <w:szCs w:val="24"/>
        </w:rPr>
        <w:t>Our workplace</w:t>
      </w:r>
    </w:p>
    <w:p w14:paraId="187FCCBF" w14:textId="3247AC7E" w:rsidR="00527234" w:rsidRPr="00752826" w:rsidRDefault="00527234" w:rsidP="00F0219E">
      <w:r w:rsidRPr="00752826">
        <w:t>Our workplaces support our people to serve their community</w:t>
      </w:r>
      <w:r w:rsidR="007824D6" w:rsidRPr="00752826">
        <w:t>.</w:t>
      </w:r>
      <w:r w:rsidRPr="00752826">
        <w:t xml:space="preserve"> </w:t>
      </w:r>
    </w:p>
    <w:p w14:paraId="79DE6FE9" w14:textId="7F4B3E2D" w:rsidR="00527234" w:rsidRPr="00752826" w:rsidRDefault="00865ECB" w:rsidP="00865ECB">
      <w:pPr>
        <w:pStyle w:val="DP1"/>
        <w:numPr>
          <w:ilvl w:val="0"/>
          <w:numId w:val="0"/>
        </w:numPr>
        <w:ind w:left="426" w:hanging="426"/>
      </w:pPr>
      <w:r>
        <w:rPr>
          <w:b/>
          <w:bCs w:val="0"/>
        </w:rPr>
        <w:t xml:space="preserve">C1. </w:t>
      </w:r>
      <w:r>
        <w:rPr>
          <w:b/>
          <w:bCs w:val="0"/>
        </w:rPr>
        <w:tab/>
      </w:r>
      <w:r w:rsidR="00527234" w:rsidRPr="00752826">
        <w:t>Prioritising the health, safety and wellbeing of our people</w:t>
      </w:r>
      <w:r w:rsidR="007824D6" w:rsidRPr="00752826">
        <w:t>.</w:t>
      </w:r>
      <w:r w:rsidR="00527234" w:rsidRPr="00752826">
        <w:t xml:space="preserve"> </w:t>
      </w:r>
    </w:p>
    <w:p w14:paraId="3EB91759" w14:textId="1F11AACF" w:rsidR="007824D6" w:rsidRPr="00752826" w:rsidRDefault="00865ECB" w:rsidP="00865ECB">
      <w:pPr>
        <w:pStyle w:val="DP1"/>
        <w:numPr>
          <w:ilvl w:val="0"/>
          <w:numId w:val="0"/>
        </w:numPr>
        <w:ind w:left="426" w:hanging="426"/>
      </w:pPr>
      <w:r>
        <w:rPr>
          <w:b/>
          <w:bCs w:val="0"/>
        </w:rPr>
        <w:t xml:space="preserve">C2. </w:t>
      </w:r>
      <w:r>
        <w:rPr>
          <w:b/>
          <w:bCs w:val="0"/>
        </w:rPr>
        <w:tab/>
      </w:r>
      <w:r w:rsidR="007824D6" w:rsidRPr="00752826">
        <w:t>Fostering a respectful, inclusive and culturally</w:t>
      </w:r>
      <w:r w:rsidR="00752826" w:rsidRPr="00752826">
        <w:t xml:space="preserve"> safe workplace that reflects our values. </w:t>
      </w:r>
      <w:r w:rsidR="007F6BA3" w:rsidRPr="00752826">
        <w:t xml:space="preserve"> </w:t>
      </w:r>
    </w:p>
    <w:p w14:paraId="65782425" w14:textId="583147B2" w:rsidR="00527234" w:rsidRPr="00752826" w:rsidRDefault="00865ECB" w:rsidP="00865ECB">
      <w:pPr>
        <w:pStyle w:val="DP1"/>
        <w:numPr>
          <w:ilvl w:val="0"/>
          <w:numId w:val="0"/>
        </w:numPr>
        <w:ind w:left="426" w:hanging="426"/>
      </w:pPr>
      <w:r>
        <w:rPr>
          <w:b/>
          <w:bCs w:val="0"/>
        </w:rPr>
        <w:t xml:space="preserve">C3. </w:t>
      </w:r>
      <w:r>
        <w:rPr>
          <w:b/>
          <w:bCs w:val="0"/>
        </w:rPr>
        <w:tab/>
      </w:r>
      <w:r w:rsidR="00527234" w:rsidRPr="00752826">
        <w:t>Growing our workforce planning capability to prepare for the future.</w:t>
      </w:r>
    </w:p>
    <w:p w14:paraId="1144CEEC" w14:textId="2399AAEB" w:rsidR="00E812DA" w:rsidRPr="00752826" w:rsidRDefault="00865ECB" w:rsidP="00865ECB">
      <w:pPr>
        <w:pStyle w:val="DP1"/>
        <w:numPr>
          <w:ilvl w:val="0"/>
          <w:numId w:val="0"/>
        </w:numPr>
        <w:ind w:left="426" w:hanging="426"/>
      </w:pPr>
      <w:r>
        <w:rPr>
          <w:b/>
          <w:bCs w:val="0"/>
        </w:rPr>
        <w:t xml:space="preserve">C4. </w:t>
      </w:r>
      <w:r>
        <w:rPr>
          <w:b/>
          <w:bCs w:val="0"/>
        </w:rPr>
        <w:tab/>
      </w:r>
      <w:r w:rsidR="00E812DA" w:rsidRPr="00752826">
        <w:t xml:space="preserve">Embracing opportunities to increase </w:t>
      </w:r>
      <w:r w:rsidR="001D536C" w:rsidRPr="00752826">
        <w:t>flexibility</w:t>
      </w:r>
      <w:r w:rsidR="00E812DA" w:rsidRPr="00752826">
        <w:t xml:space="preserve"> and drive </w:t>
      </w:r>
      <w:r w:rsidR="005401D8" w:rsidRPr="00752826">
        <w:t xml:space="preserve">more </w:t>
      </w:r>
      <w:r w:rsidR="00E812DA" w:rsidRPr="00752826">
        <w:t xml:space="preserve">innovative approaches to </w:t>
      </w:r>
      <w:r w:rsidR="001D536C" w:rsidRPr="00752826">
        <w:t xml:space="preserve">how we </w:t>
      </w:r>
      <w:r w:rsidR="00E812DA" w:rsidRPr="00752826">
        <w:t>work.</w:t>
      </w:r>
    </w:p>
    <w:p w14:paraId="7DE29DE2" w14:textId="079AE6F1" w:rsidR="000971AE" w:rsidRPr="00752826" w:rsidRDefault="000971AE" w:rsidP="000971AE">
      <w:pPr>
        <w:pStyle w:val="Heading1"/>
        <w:rPr>
          <w:sz w:val="28"/>
          <w:szCs w:val="28"/>
        </w:rPr>
      </w:pPr>
      <w:r w:rsidRPr="00752826">
        <w:rPr>
          <w:sz w:val="28"/>
          <w:szCs w:val="28"/>
        </w:rPr>
        <w:t>Performance measures</w:t>
      </w:r>
      <w:r w:rsidR="00B26152">
        <w:rPr>
          <w:sz w:val="28"/>
          <w:szCs w:val="28"/>
        </w:rPr>
        <w:t xml:space="preserve"> </w:t>
      </w:r>
    </w:p>
    <w:p w14:paraId="60A9C2E9" w14:textId="1043431D" w:rsidR="000971AE" w:rsidRPr="00752826" w:rsidRDefault="000971AE" w:rsidP="004D787C">
      <w:pPr>
        <w:pStyle w:val="DP1"/>
      </w:pPr>
      <w:r w:rsidRPr="00752826">
        <w:t>Employee engagement</w:t>
      </w:r>
      <w:r w:rsidR="00C20FF6">
        <w:t xml:space="preserve">. </w:t>
      </w:r>
    </w:p>
    <w:p w14:paraId="06FBAA86" w14:textId="720AD6EA" w:rsidR="000971AE" w:rsidRPr="00752826" w:rsidRDefault="000971AE" w:rsidP="004D787C">
      <w:pPr>
        <w:pStyle w:val="DP1"/>
      </w:pPr>
      <w:r w:rsidRPr="00752826">
        <w:t>Volunteer engagement.</w:t>
      </w:r>
    </w:p>
    <w:p w14:paraId="5E34A436" w14:textId="24E3B9A2" w:rsidR="000971AE" w:rsidRPr="00752826" w:rsidRDefault="000971AE" w:rsidP="004D787C">
      <w:pPr>
        <w:pStyle w:val="DP1"/>
      </w:pPr>
      <w:r w:rsidRPr="00752826">
        <w:t>Delivery of police personnel.</w:t>
      </w:r>
    </w:p>
    <w:p w14:paraId="5B2AEBA1" w14:textId="4850A4C5" w:rsidR="000971AE" w:rsidRPr="00752826" w:rsidRDefault="000971AE" w:rsidP="004D787C">
      <w:pPr>
        <w:pStyle w:val="DP1"/>
      </w:pPr>
      <w:r w:rsidRPr="00752826">
        <w:t>Outcomes and initiatives delivered.</w:t>
      </w:r>
    </w:p>
    <w:p w14:paraId="220D81D0" w14:textId="4F55419C" w:rsidR="000971AE" w:rsidRPr="00752826" w:rsidRDefault="000971AE" w:rsidP="004D787C">
      <w:pPr>
        <w:pStyle w:val="DP1"/>
      </w:pPr>
      <w:r w:rsidRPr="00752826">
        <w:t>Workforce data and analytics.</w:t>
      </w:r>
    </w:p>
    <w:p w14:paraId="495C0471" w14:textId="08CB8845" w:rsidR="000971AE" w:rsidRPr="00752826" w:rsidRDefault="000971AE" w:rsidP="000971AE">
      <w:pPr>
        <w:pStyle w:val="Heading1"/>
        <w:rPr>
          <w:sz w:val="28"/>
          <w:szCs w:val="28"/>
        </w:rPr>
      </w:pPr>
      <w:r w:rsidRPr="00752826">
        <w:rPr>
          <w:sz w:val="28"/>
          <w:szCs w:val="28"/>
        </w:rPr>
        <w:t>Acknowledgement of Country</w:t>
      </w:r>
    </w:p>
    <w:p w14:paraId="70137FA8" w14:textId="03376A9B" w:rsidR="000971AE" w:rsidRPr="00752826" w:rsidRDefault="000971AE" w:rsidP="00F0219E">
      <w:r w:rsidRPr="00752826">
        <w:t xml:space="preserve">The Queensland Police Service respectfully acknowledges First Nations peoples as the Traditional Owners and Custodians of Queensland. We recognise their connection to land, sea and community. We pay our respects to them, their cultures, and to their </w:t>
      </w:r>
      <w:r w:rsidR="00BA6779">
        <w:t>E</w:t>
      </w:r>
      <w:r w:rsidRPr="00752826">
        <w:t xml:space="preserve">lders, past, present and emerging. </w:t>
      </w:r>
    </w:p>
    <w:p w14:paraId="3ED738D3" w14:textId="4F7B429A" w:rsidR="008D2102" w:rsidRPr="00752826" w:rsidRDefault="008D2102" w:rsidP="008D2102">
      <w:pPr>
        <w:pStyle w:val="Heading1"/>
        <w:rPr>
          <w:sz w:val="28"/>
          <w:szCs w:val="28"/>
        </w:rPr>
      </w:pPr>
      <w:r w:rsidRPr="00752826">
        <w:rPr>
          <w:sz w:val="28"/>
          <w:szCs w:val="28"/>
        </w:rPr>
        <w:t>Our Human Rights Commitment</w:t>
      </w:r>
    </w:p>
    <w:p w14:paraId="75D229A6" w14:textId="46B6F1D2" w:rsidR="00F0219E" w:rsidRDefault="008D2102" w:rsidP="00F0219E">
      <w:r w:rsidRPr="00752826">
        <w:t>The Queensland Police Service is committed to respecting, protecting and promoting human rights in our decision</w:t>
      </w:r>
      <w:r w:rsidR="00BA6779">
        <w:t>-</w:t>
      </w:r>
      <w:r w:rsidRPr="00752826">
        <w:t>making and actions</w:t>
      </w:r>
      <w:r w:rsidR="00155491" w:rsidRPr="00752826">
        <w:t>.</w:t>
      </w:r>
    </w:p>
    <w:p w14:paraId="607EF2EF" w14:textId="574B5896" w:rsidR="00865ECB" w:rsidRPr="00752826" w:rsidRDefault="00865ECB" w:rsidP="00865ECB">
      <w:pPr>
        <w:pStyle w:val="Heading1"/>
        <w:rPr>
          <w:sz w:val="28"/>
          <w:szCs w:val="28"/>
        </w:rPr>
      </w:pPr>
      <w:r>
        <w:rPr>
          <w:sz w:val="28"/>
          <w:szCs w:val="28"/>
        </w:rPr>
        <w:t>Delivering for Queensland | Queensland Government</w:t>
      </w:r>
    </w:p>
    <w:p w14:paraId="10C11FBF" w14:textId="77777777" w:rsidR="00865ECB" w:rsidRPr="00752826" w:rsidRDefault="00865ECB" w:rsidP="00F0219E"/>
    <w:sectPr w:rsidR="00865ECB" w:rsidRPr="00752826" w:rsidSect="004D47A6">
      <w:footerReference w:type="default" r:id="rId15"/>
      <w:pgSz w:w="11906" w:h="16838"/>
      <w:pgMar w:top="720" w:right="720" w:bottom="720" w:left="72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FEDC" w14:textId="77777777" w:rsidR="00543EB5" w:rsidRDefault="00543EB5" w:rsidP="009A6E75">
      <w:pPr>
        <w:spacing w:after="0" w:line="240" w:lineRule="auto"/>
      </w:pPr>
      <w:r>
        <w:separator/>
      </w:r>
    </w:p>
  </w:endnote>
  <w:endnote w:type="continuationSeparator" w:id="0">
    <w:p w14:paraId="3D992101" w14:textId="77777777" w:rsidR="00543EB5" w:rsidRDefault="00543EB5" w:rsidP="009A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3810" w14:textId="7338CE8A" w:rsidR="00FC1005" w:rsidRPr="00C81CDA" w:rsidRDefault="00C81CDA" w:rsidP="00C81CDA">
    <w:pPr>
      <w:pStyle w:val="Footer"/>
      <w:jc w:val="right"/>
    </w:pPr>
    <w:r w:rsidRPr="00F87723">
      <w:rPr>
        <w:color w:val="FF0000"/>
        <w:sz w:val="12"/>
        <w:szCs w:val="12"/>
      </w:rPr>
      <w:fldChar w:fldCharType="begin"/>
    </w:r>
    <w:r w:rsidRPr="00F87723">
      <w:rPr>
        <w:color w:val="FF0000"/>
        <w:sz w:val="12"/>
        <w:szCs w:val="12"/>
      </w:rPr>
      <w:instrText xml:space="preserve"> FILENAME  \* FirstCap  \* MERGEFORMAT </w:instrText>
    </w:r>
    <w:r w:rsidRPr="00F87723">
      <w:rPr>
        <w:color w:val="FF0000"/>
        <w:sz w:val="12"/>
        <w:szCs w:val="12"/>
      </w:rPr>
      <w:fldChar w:fldCharType="separate"/>
    </w:r>
    <w:r w:rsidR="00E329E9" w:rsidRPr="00F87723">
      <w:rPr>
        <w:noProof/>
        <w:color w:val="FF0000"/>
        <w:sz w:val="12"/>
        <w:szCs w:val="12"/>
      </w:rPr>
      <w:t>QPS Strategic Workforce Plan 2025-2029 (v0.12)</w:t>
    </w:r>
    <w:r w:rsidRPr="00F87723">
      <w:rPr>
        <w:color w:val="FF0000"/>
        <w:sz w:val="12"/>
        <w:szCs w:val="12"/>
      </w:rPr>
      <w:fldChar w:fldCharType="end"/>
    </w:r>
    <w:r w:rsidRPr="00F87723">
      <w:rPr>
        <w:color w:val="FF0000"/>
        <w:sz w:val="12"/>
        <w:szCs w:val="12"/>
      </w:rPr>
      <w:t xml:space="preserve"> | </w:t>
    </w:r>
    <w:r w:rsidRPr="00F87723">
      <w:rPr>
        <w:color w:val="FF0000"/>
        <w:sz w:val="12"/>
        <w:szCs w:val="12"/>
      </w:rPr>
      <w:fldChar w:fldCharType="begin"/>
    </w:r>
    <w:r w:rsidRPr="00F87723">
      <w:rPr>
        <w:color w:val="FF0000"/>
        <w:sz w:val="12"/>
        <w:szCs w:val="12"/>
      </w:rPr>
      <w:instrText xml:space="preserve"> PAGE  \* Arabic  \* MERGEFORMAT </w:instrText>
    </w:r>
    <w:r w:rsidRPr="00F87723">
      <w:rPr>
        <w:color w:val="FF0000"/>
        <w:sz w:val="12"/>
        <w:szCs w:val="12"/>
      </w:rPr>
      <w:fldChar w:fldCharType="separate"/>
    </w:r>
    <w:r w:rsidRPr="00F87723">
      <w:rPr>
        <w:noProof/>
        <w:color w:val="FF0000"/>
        <w:sz w:val="12"/>
        <w:szCs w:val="12"/>
      </w:rPr>
      <w:t>1</w:t>
    </w:r>
    <w:r w:rsidRPr="00F87723">
      <w:rPr>
        <w:color w:val="FF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68BD" w14:textId="77777777" w:rsidR="00543EB5" w:rsidRDefault="00543EB5" w:rsidP="009A6E75">
      <w:pPr>
        <w:spacing w:after="0" w:line="240" w:lineRule="auto"/>
      </w:pPr>
      <w:r>
        <w:separator/>
      </w:r>
    </w:p>
  </w:footnote>
  <w:footnote w:type="continuationSeparator" w:id="0">
    <w:p w14:paraId="5CE3A63D" w14:textId="77777777" w:rsidR="00543EB5" w:rsidRDefault="00543EB5" w:rsidP="009A6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B97"/>
    <w:multiLevelType w:val="hybridMultilevel"/>
    <w:tmpl w:val="AF94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8645F"/>
    <w:multiLevelType w:val="hybridMultilevel"/>
    <w:tmpl w:val="B72ED450"/>
    <w:lvl w:ilvl="0" w:tplc="B772444A">
      <w:start w:val="1"/>
      <w:numFmt w:val="bullet"/>
      <w:pStyle w:val="DP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A6267"/>
    <w:multiLevelType w:val="hybridMultilevel"/>
    <w:tmpl w:val="C8D89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4925"/>
    <w:multiLevelType w:val="multilevel"/>
    <w:tmpl w:val="C57E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222CD"/>
    <w:multiLevelType w:val="multilevel"/>
    <w:tmpl w:val="768EA36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auto"/>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87271DC"/>
    <w:multiLevelType w:val="hybridMultilevel"/>
    <w:tmpl w:val="A8509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98709D"/>
    <w:multiLevelType w:val="hybridMultilevel"/>
    <w:tmpl w:val="FDECF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A69C9"/>
    <w:multiLevelType w:val="hybridMultilevel"/>
    <w:tmpl w:val="3FEEE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B2F02"/>
    <w:multiLevelType w:val="hybridMultilevel"/>
    <w:tmpl w:val="4674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AB740A"/>
    <w:multiLevelType w:val="hybridMultilevel"/>
    <w:tmpl w:val="015C6242"/>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0" w15:restartNumberingAfterBreak="0">
    <w:nsid w:val="2AC32F1C"/>
    <w:multiLevelType w:val="hybridMultilevel"/>
    <w:tmpl w:val="23D4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3032B"/>
    <w:multiLevelType w:val="hybridMultilevel"/>
    <w:tmpl w:val="6EA2B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4A7F1C"/>
    <w:multiLevelType w:val="multilevel"/>
    <w:tmpl w:val="3CF260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94F55DD"/>
    <w:multiLevelType w:val="hybridMultilevel"/>
    <w:tmpl w:val="A8902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064437"/>
    <w:multiLevelType w:val="hybridMultilevel"/>
    <w:tmpl w:val="5524D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E645D"/>
    <w:multiLevelType w:val="multilevel"/>
    <w:tmpl w:val="3E489D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25D73BC"/>
    <w:multiLevelType w:val="multilevel"/>
    <w:tmpl w:val="768EA36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auto"/>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52DA39EC"/>
    <w:multiLevelType w:val="hybridMultilevel"/>
    <w:tmpl w:val="A7A87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C97AC3"/>
    <w:multiLevelType w:val="hybridMultilevel"/>
    <w:tmpl w:val="A4CCA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C9375F"/>
    <w:multiLevelType w:val="multilevel"/>
    <w:tmpl w:val="5B38ED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auto"/>
      </w:rPr>
    </w:lvl>
    <w:lvl w:ilvl="2">
      <w:numFmt w:val="bullet"/>
      <w:lvlText w:val="·"/>
      <w:lvlJc w:val="left"/>
      <w:pPr>
        <w:ind w:left="1800" w:hanging="360"/>
      </w:pPr>
      <w:rPr>
        <w:rFonts w:ascii="Calibri Light" w:eastAsiaTheme="minorHAnsi" w:hAnsi="Calibri Light" w:cs="Calibri Light"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99C76AC"/>
    <w:multiLevelType w:val="hybridMultilevel"/>
    <w:tmpl w:val="D98C5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A74B01"/>
    <w:multiLevelType w:val="multilevel"/>
    <w:tmpl w:val="768EA36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auto"/>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60167409"/>
    <w:multiLevelType w:val="hybridMultilevel"/>
    <w:tmpl w:val="A09AA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946409"/>
    <w:multiLevelType w:val="hybridMultilevel"/>
    <w:tmpl w:val="DD7A3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EC77CE"/>
    <w:multiLevelType w:val="hybridMultilevel"/>
    <w:tmpl w:val="C0E250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6E579E5"/>
    <w:multiLevelType w:val="hybridMultilevel"/>
    <w:tmpl w:val="274AA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C45B69"/>
    <w:multiLevelType w:val="hybridMultilevel"/>
    <w:tmpl w:val="07080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1984975">
    <w:abstractNumId w:val="25"/>
  </w:num>
  <w:num w:numId="2" w16cid:durableId="487942225">
    <w:abstractNumId w:val="14"/>
  </w:num>
  <w:num w:numId="3" w16cid:durableId="1187519949">
    <w:abstractNumId w:val="23"/>
  </w:num>
  <w:num w:numId="4" w16cid:durableId="850870735">
    <w:abstractNumId w:val="20"/>
  </w:num>
  <w:num w:numId="5" w16cid:durableId="493685674">
    <w:abstractNumId w:val="6"/>
  </w:num>
  <w:num w:numId="6" w16cid:durableId="1125394651">
    <w:abstractNumId w:val="0"/>
  </w:num>
  <w:num w:numId="7" w16cid:durableId="1815565598">
    <w:abstractNumId w:val="10"/>
  </w:num>
  <w:num w:numId="8" w16cid:durableId="1774396683">
    <w:abstractNumId w:val="18"/>
  </w:num>
  <w:num w:numId="9" w16cid:durableId="949898385">
    <w:abstractNumId w:val="11"/>
  </w:num>
  <w:num w:numId="10" w16cid:durableId="637103441">
    <w:abstractNumId w:val="26"/>
  </w:num>
  <w:num w:numId="11" w16cid:durableId="1971551250">
    <w:abstractNumId w:val="7"/>
  </w:num>
  <w:num w:numId="12" w16cid:durableId="1074203434">
    <w:abstractNumId w:val="2"/>
  </w:num>
  <w:num w:numId="13" w16cid:durableId="1419717011">
    <w:abstractNumId w:val="5"/>
  </w:num>
  <w:num w:numId="14" w16cid:durableId="230972469">
    <w:abstractNumId w:val="13"/>
  </w:num>
  <w:num w:numId="15" w16cid:durableId="2056197264">
    <w:abstractNumId w:val="1"/>
  </w:num>
  <w:num w:numId="16" w16cid:durableId="1948466759">
    <w:abstractNumId w:val="24"/>
  </w:num>
  <w:num w:numId="17" w16cid:durableId="983508567">
    <w:abstractNumId w:val="15"/>
  </w:num>
  <w:num w:numId="18" w16cid:durableId="1456094476">
    <w:abstractNumId w:val="3"/>
  </w:num>
  <w:num w:numId="19" w16cid:durableId="1986350540">
    <w:abstractNumId w:val="4"/>
  </w:num>
  <w:num w:numId="20" w16cid:durableId="1330018407">
    <w:abstractNumId w:val="12"/>
  </w:num>
  <w:num w:numId="21" w16cid:durableId="281304365">
    <w:abstractNumId w:val="17"/>
  </w:num>
  <w:num w:numId="22" w16cid:durableId="1088885109">
    <w:abstractNumId w:val="19"/>
  </w:num>
  <w:num w:numId="23" w16cid:durableId="2090075304">
    <w:abstractNumId w:val="21"/>
  </w:num>
  <w:num w:numId="24" w16cid:durableId="2145154561">
    <w:abstractNumId w:val="16"/>
  </w:num>
  <w:num w:numId="25" w16cid:durableId="2073582612">
    <w:abstractNumId w:val="9"/>
  </w:num>
  <w:num w:numId="26" w16cid:durableId="701132718">
    <w:abstractNumId w:val="8"/>
  </w:num>
  <w:num w:numId="27" w16cid:durableId="623660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9l7qo/+4qm7/zY9qZpK2cDRhdsrME9BVBMGqKg1uw7yK5WYDSh655SI8N1UbfW5/Z2zOl3VwUwP60vfRP1CdIA==" w:salt="qh5YYDjegOf/JpSAVBBJ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14"/>
    <w:rsid w:val="00000BC4"/>
    <w:rsid w:val="0000607F"/>
    <w:rsid w:val="0005378C"/>
    <w:rsid w:val="0006039E"/>
    <w:rsid w:val="000971AE"/>
    <w:rsid w:val="000B3C6B"/>
    <w:rsid w:val="00105C2D"/>
    <w:rsid w:val="001333EE"/>
    <w:rsid w:val="00134505"/>
    <w:rsid w:val="0013615F"/>
    <w:rsid w:val="00141101"/>
    <w:rsid w:val="001435CF"/>
    <w:rsid w:val="00155491"/>
    <w:rsid w:val="00164285"/>
    <w:rsid w:val="00184D17"/>
    <w:rsid w:val="001B06B1"/>
    <w:rsid w:val="001B387E"/>
    <w:rsid w:val="001B5737"/>
    <w:rsid w:val="001B757D"/>
    <w:rsid w:val="001D536C"/>
    <w:rsid w:val="001E55DE"/>
    <w:rsid w:val="001F082B"/>
    <w:rsid w:val="00202500"/>
    <w:rsid w:val="0021029E"/>
    <w:rsid w:val="002239A4"/>
    <w:rsid w:val="002275B8"/>
    <w:rsid w:val="00247A1F"/>
    <w:rsid w:val="00265BAF"/>
    <w:rsid w:val="002726A4"/>
    <w:rsid w:val="0027577B"/>
    <w:rsid w:val="00293D98"/>
    <w:rsid w:val="00295783"/>
    <w:rsid w:val="002C42EC"/>
    <w:rsid w:val="002E2F34"/>
    <w:rsid w:val="002F020C"/>
    <w:rsid w:val="002F597A"/>
    <w:rsid w:val="002F7956"/>
    <w:rsid w:val="0031250C"/>
    <w:rsid w:val="00323887"/>
    <w:rsid w:val="0039625F"/>
    <w:rsid w:val="003A2DB1"/>
    <w:rsid w:val="003B6124"/>
    <w:rsid w:val="003D4074"/>
    <w:rsid w:val="003E77C7"/>
    <w:rsid w:val="003F0772"/>
    <w:rsid w:val="00403871"/>
    <w:rsid w:val="00436B57"/>
    <w:rsid w:val="0046210F"/>
    <w:rsid w:val="0046234B"/>
    <w:rsid w:val="0049230D"/>
    <w:rsid w:val="004D47A6"/>
    <w:rsid w:val="004D787C"/>
    <w:rsid w:val="004E0022"/>
    <w:rsid w:val="004E3405"/>
    <w:rsid w:val="00501D53"/>
    <w:rsid w:val="00514BF2"/>
    <w:rsid w:val="00527234"/>
    <w:rsid w:val="005401D8"/>
    <w:rsid w:val="00543EB5"/>
    <w:rsid w:val="00556DE8"/>
    <w:rsid w:val="00577973"/>
    <w:rsid w:val="00585014"/>
    <w:rsid w:val="00590294"/>
    <w:rsid w:val="00592CE9"/>
    <w:rsid w:val="005D6C7D"/>
    <w:rsid w:val="005E077D"/>
    <w:rsid w:val="005F5315"/>
    <w:rsid w:val="00611211"/>
    <w:rsid w:val="00612CC6"/>
    <w:rsid w:val="0061414A"/>
    <w:rsid w:val="00615771"/>
    <w:rsid w:val="0061789A"/>
    <w:rsid w:val="006819B3"/>
    <w:rsid w:val="00693A8F"/>
    <w:rsid w:val="006B7060"/>
    <w:rsid w:val="006D7961"/>
    <w:rsid w:val="007141ED"/>
    <w:rsid w:val="00717C2A"/>
    <w:rsid w:val="00723A06"/>
    <w:rsid w:val="00752826"/>
    <w:rsid w:val="00761568"/>
    <w:rsid w:val="0076372E"/>
    <w:rsid w:val="007824D6"/>
    <w:rsid w:val="00793BD6"/>
    <w:rsid w:val="007C4E9D"/>
    <w:rsid w:val="007D34E0"/>
    <w:rsid w:val="007F6BA3"/>
    <w:rsid w:val="007F6BE8"/>
    <w:rsid w:val="0080022D"/>
    <w:rsid w:val="008110F7"/>
    <w:rsid w:val="00813105"/>
    <w:rsid w:val="00845513"/>
    <w:rsid w:val="00850DBE"/>
    <w:rsid w:val="00865ECB"/>
    <w:rsid w:val="0086695D"/>
    <w:rsid w:val="00891B50"/>
    <w:rsid w:val="008A1B4B"/>
    <w:rsid w:val="008A27BC"/>
    <w:rsid w:val="008A54E5"/>
    <w:rsid w:val="008D2102"/>
    <w:rsid w:val="00925C75"/>
    <w:rsid w:val="0093073A"/>
    <w:rsid w:val="009317B5"/>
    <w:rsid w:val="00934D64"/>
    <w:rsid w:val="00940943"/>
    <w:rsid w:val="00945AE4"/>
    <w:rsid w:val="00960FF3"/>
    <w:rsid w:val="009813B7"/>
    <w:rsid w:val="00982B3D"/>
    <w:rsid w:val="009A6E75"/>
    <w:rsid w:val="009B67F4"/>
    <w:rsid w:val="009C3075"/>
    <w:rsid w:val="009D6D42"/>
    <w:rsid w:val="009E7AEA"/>
    <w:rsid w:val="009F3922"/>
    <w:rsid w:val="009F7C59"/>
    <w:rsid w:val="00A0687C"/>
    <w:rsid w:val="00A076AB"/>
    <w:rsid w:val="00A237A7"/>
    <w:rsid w:val="00A32338"/>
    <w:rsid w:val="00A3694A"/>
    <w:rsid w:val="00A57D31"/>
    <w:rsid w:val="00A81BA8"/>
    <w:rsid w:val="00A976A2"/>
    <w:rsid w:val="00A97E53"/>
    <w:rsid w:val="00AB7A9F"/>
    <w:rsid w:val="00AD641E"/>
    <w:rsid w:val="00AF5016"/>
    <w:rsid w:val="00B26152"/>
    <w:rsid w:val="00B361E0"/>
    <w:rsid w:val="00B561FA"/>
    <w:rsid w:val="00B567BB"/>
    <w:rsid w:val="00B577A8"/>
    <w:rsid w:val="00B57EDB"/>
    <w:rsid w:val="00B62871"/>
    <w:rsid w:val="00B92F0F"/>
    <w:rsid w:val="00BA6779"/>
    <w:rsid w:val="00C02AFA"/>
    <w:rsid w:val="00C20FF6"/>
    <w:rsid w:val="00C30EE5"/>
    <w:rsid w:val="00C500BF"/>
    <w:rsid w:val="00C62CAB"/>
    <w:rsid w:val="00C70C87"/>
    <w:rsid w:val="00C722C1"/>
    <w:rsid w:val="00C81CDA"/>
    <w:rsid w:val="00CA7252"/>
    <w:rsid w:val="00CB7548"/>
    <w:rsid w:val="00CD6BC4"/>
    <w:rsid w:val="00CF127E"/>
    <w:rsid w:val="00D016F8"/>
    <w:rsid w:val="00D13411"/>
    <w:rsid w:val="00D23AA3"/>
    <w:rsid w:val="00D3342B"/>
    <w:rsid w:val="00D3539F"/>
    <w:rsid w:val="00D359CC"/>
    <w:rsid w:val="00D857AD"/>
    <w:rsid w:val="00D95BB2"/>
    <w:rsid w:val="00DC05BB"/>
    <w:rsid w:val="00DE3D8F"/>
    <w:rsid w:val="00DF3D64"/>
    <w:rsid w:val="00E01238"/>
    <w:rsid w:val="00E016A1"/>
    <w:rsid w:val="00E13A66"/>
    <w:rsid w:val="00E3214F"/>
    <w:rsid w:val="00E329E9"/>
    <w:rsid w:val="00E46702"/>
    <w:rsid w:val="00E80A6F"/>
    <w:rsid w:val="00E812DA"/>
    <w:rsid w:val="00E85C08"/>
    <w:rsid w:val="00E906CF"/>
    <w:rsid w:val="00EB7C9D"/>
    <w:rsid w:val="00ED0181"/>
    <w:rsid w:val="00EF2071"/>
    <w:rsid w:val="00F0219E"/>
    <w:rsid w:val="00F2000B"/>
    <w:rsid w:val="00F20083"/>
    <w:rsid w:val="00F22012"/>
    <w:rsid w:val="00F270CD"/>
    <w:rsid w:val="00F3179E"/>
    <w:rsid w:val="00F82D8E"/>
    <w:rsid w:val="00F87723"/>
    <w:rsid w:val="00F921CE"/>
    <w:rsid w:val="00FA3C95"/>
    <w:rsid w:val="00FB2B86"/>
    <w:rsid w:val="00FC1005"/>
    <w:rsid w:val="00FE0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042C"/>
  <w15:docId w15:val="{CDB6925E-2C50-4772-B06D-B5AD4D83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A6"/>
    <w:pPr>
      <w:spacing w:after="140"/>
    </w:pPr>
  </w:style>
  <w:style w:type="paragraph" w:styleId="Heading1">
    <w:name w:val="heading 1"/>
    <w:basedOn w:val="Normal"/>
    <w:next w:val="Normal"/>
    <w:link w:val="Heading1Char"/>
    <w:uiPriority w:val="9"/>
    <w:qFormat/>
    <w:rsid w:val="008D2102"/>
    <w:pPr>
      <w:keepNext/>
      <w:keepLines/>
      <w:spacing w:before="240" w:after="1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F0219E"/>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982B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585014"/>
    <w:rPr>
      <w:b/>
      <w:bCs/>
      <w:i/>
      <w:iCs/>
      <w:spacing w:val="5"/>
    </w:rPr>
  </w:style>
  <w:style w:type="paragraph" w:styleId="Title">
    <w:name w:val="Title"/>
    <w:basedOn w:val="Normal"/>
    <w:next w:val="Normal"/>
    <w:link w:val="TitleChar"/>
    <w:uiPriority w:val="10"/>
    <w:qFormat/>
    <w:rsid w:val="005850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2102"/>
    <w:rPr>
      <w:rFonts w:asciiTheme="majorHAnsi" w:eastAsiaTheme="majorEastAsia" w:hAnsiTheme="majorHAnsi" w:cstheme="majorBidi"/>
      <w:b/>
      <w:sz w:val="32"/>
      <w:szCs w:val="32"/>
    </w:rPr>
  </w:style>
  <w:style w:type="paragraph" w:styleId="ListParagraph">
    <w:name w:val="List Paragraph"/>
    <w:basedOn w:val="Normal"/>
    <w:uiPriority w:val="34"/>
    <w:qFormat/>
    <w:rsid w:val="009A6E75"/>
    <w:pPr>
      <w:ind w:left="720"/>
      <w:contextualSpacing/>
    </w:pPr>
  </w:style>
  <w:style w:type="character" w:customStyle="1" w:styleId="Heading2Char">
    <w:name w:val="Heading 2 Char"/>
    <w:basedOn w:val="DefaultParagraphFont"/>
    <w:link w:val="Heading2"/>
    <w:uiPriority w:val="9"/>
    <w:rsid w:val="00F0219E"/>
    <w:rPr>
      <w:rFonts w:eastAsiaTheme="majorEastAsia" w:cstheme="majorBidi"/>
      <w:b/>
      <w:sz w:val="24"/>
      <w:szCs w:val="26"/>
    </w:rPr>
  </w:style>
  <w:style w:type="paragraph" w:styleId="Header">
    <w:name w:val="header"/>
    <w:basedOn w:val="Normal"/>
    <w:link w:val="HeaderChar"/>
    <w:uiPriority w:val="99"/>
    <w:unhideWhenUsed/>
    <w:rsid w:val="009A6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75"/>
  </w:style>
  <w:style w:type="paragraph" w:styleId="Footer">
    <w:name w:val="footer"/>
    <w:basedOn w:val="Normal"/>
    <w:link w:val="FooterChar"/>
    <w:uiPriority w:val="99"/>
    <w:unhideWhenUsed/>
    <w:rsid w:val="009A6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75"/>
  </w:style>
  <w:style w:type="table" w:styleId="TableGrid">
    <w:name w:val="Table Grid"/>
    <w:basedOn w:val="TableNormal"/>
    <w:uiPriority w:val="39"/>
    <w:rsid w:val="00403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71AE"/>
    <w:pPr>
      <w:spacing w:after="0" w:line="240" w:lineRule="auto"/>
    </w:pPr>
  </w:style>
  <w:style w:type="paragraph" w:styleId="Revision">
    <w:name w:val="Revision"/>
    <w:hidden/>
    <w:uiPriority w:val="99"/>
    <w:semiHidden/>
    <w:rsid w:val="000B3C6B"/>
    <w:pPr>
      <w:spacing w:after="0" w:line="240" w:lineRule="auto"/>
    </w:pPr>
  </w:style>
  <w:style w:type="paragraph" w:customStyle="1" w:styleId="xmsolistparagraph">
    <w:name w:val="x_msolistparagraph"/>
    <w:basedOn w:val="Normal"/>
    <w:rsid w:val="00C62CA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rmalWeb">
    <w:name w:val="Normal (Web)"/>
    <w:basedOn w:val="Normal"/>
    <w:uiPriority w:val="99"/>
    <w:semiHidden/>
    <w:unhideWhenUsed/>
    <w:rsid w:val="00934D64"/>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DP1">
    <w:name w:val="DP1"/>
    <w:basedOn w:val="ListParagraph"/>
    <w:qFormat/>
    <w:rsid w:val="00A97E53"/>
    <w:pPr>
      <w:numPr>
        <w:numId w:val="15"/>
      </w:numPr>
      <w:ind w:left="340" w:hanging="340"/>
    </w:pPr>
    <w:rPr>
      <w:bCs/>
      <w:szCs w:val="20"/>
    </w:rPr>
  </w:style>
  <w:style w:type="paragraph" w:customStyle="1" w:styleId="Normaltable">
    <w:name w:val="Normal_table"/>
    <w:basedOn w:val="Normal"/>
    <w:qFormat/>
    <w:rsid w:val="00A97E53"/>
    <w:pPr>
      <w:spacing w:before="120" w:after="120" w:line="240" w:lineRule="auto"/>
    </w:pPr>
    <w:rPr>
      <w:sz w:val="21"/>
      <w:szCs w:val="21"/>
    </w:rPr>
  </w:style>
  <w:style w:type="character" w:customStyle="1" w:styleId="Heading3Char">
    <w:name w:val="Heading 3 Char"/>
    <w:basedOn w:val="DefaultParagraphFont"/>
    <w:link w:val="Heading3"/>
    <w:uiPriority w:val="9"/>
    <w:rsid w:val="00982B3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7491">
      <w:bodyDiv w:val="1"/>
      <w:marLeft w:val="0"/>
      <w:marRight w:val="0"/>
      <w:marTop w:val="0"/>
      <w:marBottom w:val="0"/>
      <w:divBdr>
        <w:top w:val="none" w:sz="0" w:space="0" w:color="auto"/>
        <w:left w:val="none" w:sz="0" w:space="0" w:color="auto"/>
        <w:bottom w:val="none" w:sz="0" w:space="0" w:color="auto"/>
        <w:right w:val="none" w:sz="0" w:space="0" w:color="auto"/>
      </w:divBdr>
    </w:div>
    <w:div w:id="27071816">
      <w:bodyDiv w:val="1"/>
      <w:marLeft w:val="0"/>
      <w:marRight w:val="0"/>
      <w:marTop w:val="0"/>
      <w:marBottom w:val="0"/>
      <w:divBdr>
        <w:top w:val="none" w:sz="0" w:space="0" w:color="auto"/>
        <w:left w:val="none" w:sz="0" w:space="0" w:color="auto"/>
        <w:bottom w:val="none" w:sz="0" w:space="0" w:color="auto"/>
        <w:right w:val="none" w:sz="0" w:space="0" w:color="auto"/>
      </w:divBdr>
    </w:div>
    <w:div w:id="71969516">
      <w:bodyDiv w:val="1"/>
      <w:marLeft w:val="0"/>
      <w:marRight w:val="0"/>
      <w:marTop w:val="0"/>
      <w:marBottom w:val="0"/>
      <w:divBdr>
        <w:top w:val="none" w:sz="0" w:space="0" w:color="auto"/>
        <w:left w:val="none" w:sz="0" w:space="0" w:color="auto"/>
        <w:bottom w:val="none" w:sz="0" w:space="0" w:color="auto"/>
        <w:right w:val="none" w:sz="0" w:space="0" w:color="auto"/>
      </w:divBdr>
    </w:div>
    <w:div w:id="109322217">
      <w:bodyDiv w:val="1"/>
      <w:marLeft w:val="0"/>
      <w:marRight w:val="0"/>
      <w:marTop w:val="0"/>
      <w:marBottom w:val="0"/>
      <w:divBdr>
        <w:top w:val="none" w:sz="0" w:space="0" w:color="auto"/>
        <w:left w:val="none" w:sz="0" w:space="0" w:color="auto"/>
        <w:bottom w:val="none" w:sz="0" w:space="0" w:color="auto"/>
        <w:right w:val="none" w:sz="0" w:space="0" w:color="auto"/>
      </w:divBdr>
    </w:div>
    <w:div w:id="178012781">
      <w:bodyDiv w:val="1"/>
      <w:marLeft w:val="0"/>
      <w:marRight w:val="0"/>
      <w:marTop w:val="0"/>
      <w:marBottom w:val="0"/>
      <w:divBdr>
        <w:top w:val="none" w:sz="0" w:space="0" w:color="auto"/>
        <w:left w:val="none" w:sz="0" w:space="0" w:color="auto"/>
        <w:bottom w:val="none" w:sz="0" w:space="0" w:color="auto"/>
        <w:right w:val="none" w:sz="0" w:space="0" w:color="auto"/>
      </w:divBdr>
    </w:div>
    <w:div w:id="470710185">
      <w:bodyDiv w:val="1"/>
      <w:marLeft w:val="0"/>
      <w:marRight w:val="0"/>
      <w:marTop w:val="0"/>
      <w:marBottom w:val="0"/>
      <w:divBdr>
        <w:top w:val="none" w:sz="0" w:space="0" w:color="auto"/>
        <w:left w:val="none" w:sz="0" w:space="0" w:color="auto"/>
        <w:bottom w:val="none" w:sz="0" w:space="0" w:color="auto"/>
        <w:right w:val="none" w:sz="0" w:space="0" w:color="auto"/>
      </w:divBdr>
    </w:div>
    <w:div w:id="484515414">
      <w:bodyDiv w:val="1"/>
      <w:marLeft w:val="0"/>
      <w:marRight w:val="0"/>
      <w:marTop w:val="0"/>
      <w:marBottom w:val="0"/>
      <w:divBdr>
        <w:top w:val="none" w:sz="0" w:space="0" w:color="auto"/>
        <w:left w:val="none" w:sz="0" w:space="0" w:color="auto"/>
        <w:bottom w:val="none" w:sz="0" w:space="0" w:color="auto"/>
        <w:right w:val="none" w:sz="0" w:space="0" w:color="auto"/>
      </w:divBdr>
      <w:divsChild>
        <w:div w:id="1166169548">
          <w:marLeft w:val="0"/>
          <w:marRight w:val="0"/>
          <w:marTop w:val="0"/>
          <w:marBottom w:val="0"/>
          <w:divBdr>
            <w:top w:val="none" w:sz="0" w:space="0" w:color="auto"/>
            <w:left w:val="none" w:sz="0" w:space="0" w:color="auto"/>
            <w:bottom w:val="none" w:sz="0" w:space="0" w:color="auto"/>
            <w:right w:val="none" w:sz="0" w:space="0" w:color="auto"/>
          </w:divBdr>
        </w:div>
      </w:divsChild>
    </w:div>
    <w:div w:id="574435832">
      <w:bodyDiv w:val="1"/>
      <w:marLeft w:val="0"/>
      <w:marRight w:val="0"/>
      <w:marTop w:val="0"/>
      <w:marBottom w:val="0"/>
      <w:divBdr>
        <w:top w:val="none" w:sz="0" w:space="0" w:color="auto"/>
        <w:left w:val="none" w:sz="0" w:space="0" w:color="auto"/>
        <w:bottom w:val="none" w:sz="0" w:space="0" w:color="auto"/>
        <w:right w:val="none" w:sz="0" w:space="0" w:color="auto"/>
      </w:divBdr>
    </w:div>
    <w:div w:id="585965177">
      <w:bodyDiv w:val="1"/>
      <w:marLeft w:val="0"/>
      <w:marRight w:val="0"/>
      <w:marTop w:val="0"/>
      <w:marBottom w:val="0"/>
      <w:divBdr>
        <w:top w:val="none" w:sz="0" w:space="0" w:color="auto"/>
        <w:left w:val="none" w:sz="0" w:space="0" w:color="auto"/>
        <w:bottom w:val="none" w:sz="0" w:space="0" w:color="auto"/>
        <w:right w:val="none" w:sz="0" w:space="0" w:color="auto"/>
      </w:divBdr>
    </w:div>
    <w:div w:id="616987053">
      <w:bodyDiv w:val="1"/>
      <w:marLeft w:val="0"/>
      <w:marRight w:val="0"/>
      <w:marTop w:val="0"/>
      <w:marBottom w:val="0"/>
      <w:divBdr>
        <w:top w:val="none" w:sz="0" w:space="0" w:color="auto"/>
        <w:left w:val="none" w:sz="0" w:space="0" w:color="auto"/>
        <w:bottom w:val="none" w:sz="0" w:space="0" w:color="auto"/>
        <w:right w:val="none" w:sz="0" w:space="0" w:color="auto"/>
      </w:divBdr>
    </w:div>
    <w:div w:id="626545929">
      <w:bodyDiv w:val="1"/>
      <w:marLeft w:val="0"/>
      <w:marRight w:val="0"/>
      <w:marTop w:val="0"/>
      <w:marBottom w:val="0"/>
      <w:divBdr>
        <w:top w:val="none" w:sz="0" w:space="0" w:color="auto"/>
        <w:left w:val="none" w:sz="0" w:space="0" w:color="auto"/>
        <w:bottom w:val="none" w:sz="0" w:space="0" w:color="auto"/>
        <w:right w:val="none" w:sz="0" w:space="0" w:color="auto"/>
      </w:divBdr>
    </w:div>
    <w:div w:id="780490661">
      <w:bodyDiv w:val="1"/>
      <w:marLeft w:val="0"/>
      <w:marRight w:val="0"/>
      <w:marTop w:val="0"/>
      <w:marBottom w:val="0"/>
      <w:divBdr>
        <w:top w:val="none" w:sz="0" w:space="0" w:color="auto"/>
        <w:left w:val="none" w:sz="0" w:space="0" w:color="auto"/>
        <w:bottom w:val="none" w:sz="0" w:space="0" w:color="auto"/>
        <w:right w:val="none" w:sz="0" w:space="0" w:color="auto"/>
      </w:divBdr>
    </w:div>
    <w:div w:id="1045301236">
      <w:bodyDiv w:val="1"/>
      <w:marLeft w:val="0"/>
      <w:marRight w:val="0"/>
      <w:marTop w:val="0"/>
      <w:marBottom w:val="0"/>
      <w:divBdr>
        <w:top w:val="none" w:sz="0" w:space="0" w:color="auto"/>
        <w:left w:val="none" w:sz="0" w:space="0" w:color="auto"/>
        <w:bottom w:val="none" w:sz="0" w:space="0" w:color="auto"/>
        <w:right w:val="none" w:sz="0" w:space="0" w:color="auto"/>
      </w:divBdr>
    </w:div>
    <w:div w:id="1116947779">
      <w:bodyDiv w:val="1"/>
      <w:marLeft w:val="0"/>
      <w:marRight w:val="0"/>
      <w:marTop w:val="0"/>
      <w:marBottom w:val="0"/>
      <w:divBdr>
        <w:top w:val="none" w:sz="0" w:space="0" w:color="auto"/>
        <w:left w:val="none" w:sz="0" w:space="0" w:color="auto"/>
        <w:bottom w:val="none" w:sz="0" w:space="0" w:color="auto"/>
        <w:right w:val="none" w:sz="0" w:space="0" w:color="auto"/>
      </w:divBdr>
      <w:divsChild>
        <w:div w:id="1407265660">
          <w:marLeft w:val="0"/>
          <w:marRight w:val="0"/>
          <w:marTop w:val="0"/>
          <w:marBottom w:val="0"/>
          <w:divBdr>
            <w:top w:val="none" w:sz="0" w:space="0" w:color="auto"/>
            <w:left w:val="none" w:sz="0" w:space="0" w:color="auto"/>
            <w:bottom w:val="none" w:sz="0" w:space="0" w:color="auto"/>
            <w:right w:val="none" w:sz="0" w:space="0" w:color="auto"/>
          </w:divBdr>
        </w:div>
      </w:divsChild>
    </w:div>
    <w:div w:id="1199585264">
      <w:bodyDiv w:val="1"/>
      <w:marLeft w:val="0"/>
      <w:marRight w:val="0"/>
      <w:marTop w:val="0"/>
      <w:marBottom w:val="0"/>
      <w:divBdr>
        <w:top w:val="none" w:sz="0" w:space="0" w:color="auto"/>
        <w:left w:val="none" w:sz="0" w:space="0" w:color="auto"/>
        <w:bottom w:val="none" w:sz="0" w:space="0" w:color="auto"/>
        <w:right w:val="none" w:sz="0" w:space="0" w:color="auto"/>
      </w:divBdr>
    </w:div>
    <w:div w:id="1225604061">
      <w:bodyDiv w:val="1"/>
      <w:marLeft w:val="0"/>
      <w:marRight w:val="0"/>
      <w:marTop w:val="0"/>
      <w:marBottom w:val="0"/>
      <w:divBdr>
        <w:top w:val="none" w:sz="0" w:space="0" w:color="auto"/>
        <w:left w:val="none" w:sz="0" w:space="0" w:color="auto"/>
        <w:bottom w:val="none" w:sz="0" w:space="0" w:color="auto"/>
        <w:right w:val="none" w:sz="0" w:space="0" w:color="auto"/>
      </w:divBdr>
      <w:divsChild>
        <w:div w:id="1482305711">
          <w:marLeft w:val="0"/>
          <w:marRight w:val="0"/>
          <w:marTop w:val="0"/>
          <w:marBottom w:val="0"/>
          <w:divBdr>
            <w:top w:val="none" w:sz="0" w:space="0" w:color="auto"/>
            <w:left w:val="none" w:sz="0" w:space="0" w:color="auto"/>
            <w:bottom w:val="none" w:sz="0" w:space="0" w:color="auto"/>
            <w:right w:val="none" w:sz="0" w:space="0" w:color="auto"/>
          </w:divBdr>
        </w:div>
      </w:divsChild>
    </w:div>
    <w:div w:id="1365521775">
      <w:bodyDiv w:val="1"/>
      <w:marLeft w:val="0"/>
      <w:marRight w:val="0"/>
      <w:marTop w:val="0"/>
      <w:marBottom w:val="0"/>
      <w:divBdr>
        <w:top w:val="none" w:sz="0" w:space="0" w:color="auto"/>
        <w:left w:val="none" w:sz="0" w:space="0" w:color="auto"/>
        <w:bottom w:val="none" w:sz="0" w:space="0" w:color="auto"/>
        <w:right w:val="none" w:sz="0" w:space="0" w:color="auto"/>
      </w:divBdr>
    </w:div>
    <w:div w:id="1378704772">
      <w:bodyDiv w:val="1"/>
      <w:marLeft w:val="0"/>
      <w:marRight w:val="0"/>
      <w:marTop w:val="0"/>
      <w:marBottom w:val="0"/>
      <w:divBdr>
        <w:top w:val="none" w:sz="0" w:space="0" w:color="auto"/>
        <w:left w:val="none" w:sz="0" w:space="0" w:color="auto"/>
        <w:bottom w:val="none" w:sz="0" w:space="0" w:color="auto"/>
        <w:right w:val="none" w:sz="0" w:space="0" w:color="auto"/>
      </w:divBdr>
    </w:div>
    <w:div w:id="1389181439">
      <w:bodyDiv w:val="1"/>
      <w:marLeft w:val="0"/>
      <w:marRight w:val="0"/>
      <w:marTop w:val="0"/>
      <w:marBottom w:val="0"/>
      <w:divBdr>
        <w:top w:val="none" w:sz="0" w:space="0" w:color="auto"/>
        <w:left w:val="none" w:sz="0" w:space="0" w:color="auto"/>
        <w:bottom w:val="none" w:sz="0" w:space="0" w:color="auto"/>
        <w:right w:val="none" w:sz="0" w:space="0" w:color="auto"/>
      </w:divBdr>
    </w:div>
    <w:div w:id="1427379418">
      <w:bodyDiv w:val="1"/>
      <w:marLeft w:val="0"/>
      <w:marRight w:val="0"/>
      <w:marTop w:val="0"/>
      <w:marBottom w:val="0"/>
      <w:divBdr>
        <w:top w:val="none" w:sz="0" w:space="0" w:color="auto"/>
        <w:left w:val="none" w:sz="0" w:space="0" w:color="auto"/>
        <w:bottom w:val="none" w:sz="0" w:space="0" w:color="auto"/>
        <w:right w:val="none" w:sz="0" w:space="0" w:color="auto"/>
      </w:divBdr>
    </w:div>
    <w:div w:id="1596674617">
      <w:bodyDiv w:val="1"/>
      <w:marLeft w:val="0"/>
      <w:marRight w:val="0"/>
      <w:marTop w:val="0"/>
      <w:marBottom w:val="0"/>
      <w:divBdr>
        <w:top w:val="none" w:sz="0" w:space="0" w:color="auto"/>
        <w:left w:val="none" w:sz="0" w:space="0" w:color="auto"/>
        <w:bottom w:val="none" w:sz="0" w:space="0" w:color="auto"/>
        <w:right w:val="none" w:sz="0" w:space="0" w:color="auto"/>
      </w:divBdr>
    </w:div>
    <w:div w:id="1600327977">
      <w:bodyDiv w:val="1"/>
      <w:marLeft w:val="0"/>
      <w:marRight w:val="0"/>
      <w:marTop w:val="0"/>
      <w:marBottom w:val="0"/>
      <w:divBdr>
        <w:top w:val="none" w:sz="0" w:space="0" w:color="auto"/>
        <w:left w:val="none" w:sz="0" w:space="0" w:color="auto"/>
        <w:bottom w:val="none" w:sz="0" w:space="0" w:color="auto"/>
        <w:right w:val="none" w:sz="0" w:space="0" w:color="auto"/>
      </w:divBdr>
    </w:div>
    <w:div w:id="1639186653">
      <w:bodyDiv w:val="1"/>
      <w:marLeft w:val="0"/>
      <w:marRight w:val="0"/>
      <w:marTop w:val="0"/>
      <w:marBottom w:val="0"/>
      <w:divBdr>
        <w:top w:val="none" w:sz="0" w:space="0" w:color="auto"/>
        <w:left w:val="none" w:sz="0" w:space="0" w:color="auto"/>
        <w:bottom w:val="none" w:sz="0" w:space="0" w:color="auto"/>
        <w:right w:val="none" w:sz="0" w:space="0" w:color="auto"/>
      </w:divBdr>
    </w:div>
    <w:div w:id="1663266606">
      <w:bodyDiv w:val="1"/>
      <w:marLeft w:val="0"/>
      <w:marRight w:val="0"/>
      <w:marTop w:val="0"/>
      <w:marBottom w:val="0"/>
      <w:divBdr>
        <w:top w:val="none" w:sz="0" w:space="0" w:color="auto"/>
        <w:left w:val="none" w:sz="0" w:space="0" w:color="auto"/>
        <w:bottom w:val="none" w:sz="0" w:space="0" w:color="auto"/>
        <w:right w:val="none" w:sz="0" w:space="0" w:color="auto"/>
      </w:divBdr>
    </w:div>
    <w:div w:id="1706978134">
      <w:bodyDiv w:val="1"/>
      <w:marLeft w:val="0"/>
      <w:marRight w:val="0"/>
      <w:marTop w:val="0"/>
      <w:marBottom w:val="0"/>
      <w:divBdr>
        <w:top w:val="none" w:sz="0" w:space="0" w:color="auto"/>
        <w:left w:val="none" w:sz="0" w:space="0" w:color="auto"/>
        <w:bottom w:val="none" w:sz="0" w:space="0" w:color="auto"/>
        <w:right w:val="none" w:sz="0" w:space="0" w:color="auto"/>
      </w:divBdr>
    </w:div>
    <w:div w:id="1823543569">
      <w:bodyDiv w:val="1"/>
      <w:marLeft w:val="0"/>
      <w:marRight w:val="0"/>
      <w:marTop w:val="0"/>
      <w:marBottom w:val="0"/>
      <w:divBdr>
        <w:top w:val="none" w:sz="0" w:space="0" w:color="auto"/>
        <w:left w:val="none" w:sz="0" w:space="0" w:color="auto"/>
        <w:bottom w:val="none" w:sz="0" w:space="0" w:color="auto"/>
        <w:right w:val="none" w:sz="0" w:space="0" w:color="auto"/>
      </w:divBdr>
      <w:divsChild>
        <w:div w:id="697968786">
          <w:marLeft w:val="0"/>
          <w:marRight w:val="0"/>
          <w:marTop w:val="0"/>
          <w:marBottom w:val="0"/>
          <w:divBdr>
            <w:top w:val="none" w:sz="0" w:space="0" w:color="auto"/>
            <w:left w:val="none" w:sz="0" w:space="0" w:color="auto"/>
            <w:bottom w:val="none" w:sz="0" w:space="0" w:color="auto"/>
            <w:right w:val="none" w:sz="0" w:space="0" w:color="auto"/>
          </w:divBdr>
        </w:div>
      </w:divsChild>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sChild>
        <w:div w:id="1629241094">
          <w:marLeft w:val="0"/>
          <w:marRight w:val="0"/>
          <w:marTop w:val="0"/>
          <w:marBottom w:val="0"/>
          <w:divBdr>
            <w:top w:val="none" w:sz="0" w:space="0" w:color="auto"/>
            <w:left w:val="none" w:sz="0" w:space="0" w:color="auto"/>
            <w:bottom w:val="none" w:sz="0" w:space="0" w:color="auto"/>
            <w:right w:val="none" w:sz="0" w:space="0" w:color="auto"/>
          </w:divBdr>
        </w:div>
      </w:divsChild>
    </w:div>
    <w:div w:id="2038114855">
      <w:bodyDiv w:val="1"/>
      <w:marLeft w:val="0"/>
      <w:marRight w:val="0"/>
      <w:marTop w:val="0"/>
      <w:marBottom w:val="0"/>
      <w:divBdr>
        <w:top w:val="none" w:sz="0" w:space="0" w:color="auto"/>
        <w:left w:val="none" w:sz="0" w:space="0" w:color="auto"/>
        <w:bottom w:val="none" w:sz="0" w:space="0" w:color="auto"/>
        <w:right w:val="none" w:sz="0" w:space="0" w:color="auto"/>
      </w:divBdr>
      <w:divsChild>
        <w:div w:id="13424696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0D41C04065541BAA8AF2CBB7E934E" ma:contentTypeVersion="15" ma:contentTypeDescription="Create a new document." ma:contentTypeScope="" ma:versionID="395564b2935a382c5edb52c32554bbce">
  <xsd:schema xmlns:xsd="http://www.w3.org/2001/XMLSchema" xmlns:xs="http://www.w3.org/2001/XMLSchema" xmlns:p="http://schemas.microsoft.com/office/2006/metadata/properties" xmlns:ns2="c11c63f6-bc8f-45b8-bae8-05843315d5c9" targetNamespace="http://schemas.microsoft.com/office/2006/metadata/properties" ma:root="true" ma:fieldsID="f2c48dd29dbf6b67988ecac8c944e606" ns2:_="">
    <xsd:import namespace="c11c63f6-bc8f-45b8-bae8-05843315d5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UnderReview" minOccurs="0"/>
                <xsd:element ref="ns2:DocOwner" minOccurs="0"/>
                <xsd:element ref="ns2:Date_x0028_HR_x0029_" minOccurs="0"/>
                <xsd:element ref="ns2:MediaServiceDateTaken" minOccurs="0"/>
                <xsd:element ref="ns2:MediaLengthInSeconds" minOccurs="0"/>
                <xsd:element ref="ns2:MediaServiceObjectDetectorVersions" minOccurs="0"/>
                <xsd:element ref="ns2:MediaServiceSearchProperties" minOccurs="0"/>
                <xsd:element ref="ns2:Automateinplac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63f6-bc8f-45b8-bae8-05843315d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UnderReview" ma:index="12" nillable="true" ma:displayName="Under Review" ma:format="Dropdown" ma:internalName="UnderReview">
      <xsd:simpleType>
        <xsd:restriction base="dms:Choice">
          <xsd:enumeration value="Yes"/>
          <xsd:enumeration value="No"/>
        </xsd:restriction>
      </xsd:simpleType>
    </xsd:element>
    <xsd:element name="DocOwner" ma:index="13" nillable="true" ma:displayName="Doc Owner" ma:format="Dropdown" ma:internalName="DocOwner">
      <xsd:simpleType>
        <xsd:restriction base="dms:Choice">
          <xsd:enumeration value="HR Services"/>
          <xsd:enumeration value="Employee Relations"/>
          <xsd:enumeration value="HR Workforce Strategy Analytics &amp; Systems"/>
          <xsd:enumeration value="Office of the Executive Director"/>
          <xsd:enumeration value="External organisation"/>
          <xsd:enumeration value="Leading Women Network"/>
          <xsd:enumeration value="Queensland Shared Services"/>
          <xsd:enumeration value="Queensland Treasury"/>
          <xsd:enumeration value="People Capability Command"/>
        </xsd:restriction>
      </xsd:simpleType>
    </xsd:element>
    <xsd:element name="Date_x0028_HR_x0029_" ma:index="14" nillable="true" ma:displayName="Date (HR)" ma:format="DateOnly" ma:internalName="Date_x0028_HR_x0029_">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Automateinplace_x003f_" ma:index="19" nillable="true" ma:displayName="Automate in place?" ma:format="Dropdown" ma:internalName="Automateinplace_x003f_">
      <xsd:simpleType>
        <xsd:restriction base="dms:Choice">
          <xsd:enumeration value="Y"/>
          <xsd:enumeration valu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erReview xmlns="c11c63f6-bc8f-45b8-bae8-05843315d5c9" xsi:nil="true"/>
    <DocOwner xmlns="c11c63f6-bc8f-45b8-bae8-05843315d5c9" xsi:nil="true"/>
    <Date_x0028_HR_x0029_ xmlns="c11c63f6-bc8f-45b8-bae8-05843315d5c9" xsi:nil="true"/>
    <Automateinplace_x003f_ xmlns="c11c63f6-bc8f-45b8-bae8-05843315d5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5A495-1DC6-447D-AE5E-3689321FF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63f6-bc8f-45b8-bae8-05843315d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8C0AD-C953-4039-97DA-EB23761EA605}">
  <ds:schemaRefs>
    <ds:schemaRef ds:uri="http://schemas.microsoft.com/office/2006/metadata/properties"/>
    <ds:schemaRef ds:uri="http://schemas.microsoft.com/office/infopath/2007/PartnerControls"/>
    <ds:schemaRef ds:uri="c11c63f6-bc8f-45b8-bae8-05843315d5c9"/>
  </ds:schemaRefs>
</ds:datastoreItem>
</file>

<file path=customXml/itemProps3.xml><?xml version="1.0" encoding="utf-8"?>
<ds:datastoreItem xmlns:ds="http://schemas.openxmlformats.org/officeDocument/2006/customXml" ds:itemID="{7C20824F-6817-4693-A985-0AFBA7AAC03A}">
  <ds:schemaRefs>
    <ds:schemaRef ds:uri="http://schemas.openxmlformats.org/officeDocument/2006/bibliography"/>
  </ds:schemaRefs>
</ds:datastoreItem>
</file>

<file path=customXml/itemProps4.xml><?xml version="1.0" encoding="utf-8"?>
<ds:datastoreItem xmlns:ds="http://schemas.openxmlformats.org/officeDocument/2006/customXml" ds:itemID="{E829BD63-4C67-4DDD-8460-98343AB67F6E}">
  <ds:schemaRefs>
    <ds:schemaRef ds:uri="http://schemas.microsoft.com/sharepoint/v3/contenttype/forms"/>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941</Words>
  <Characters>5370</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Butcher.Keri[HRDIV]</dc:creator>
  <cp:keywords/>
  <dc:description/>
  <cp:lastModifiedBy>Sergiacomi.MarcoN[CCE]</cp:lastModifiedBy>
  <cp:revision>4</cp:revision>
  <cp:lastPrinted>2025-07-28T01:37:00Z</cp:lastPrinted>
  <dcterms:created xsi:type="dcterms:W3CDTF">2025-09-05T03:05:00Z</dcterms:created>
  <dcterms:modified xsi:type="dcterms:W3CDTF">2025-09-08T00:28:00Z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0x0101001C90D41C04065541BAA8AF2CBB7E934E</vt:lpwstr>
  </property>
</Properties>
</file>