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5133" w14:textId="43ACC238" w:rsidR="00307C0A" w:rsidRDefault="00307C0A" w:rsidP="00307C0A">
      <w:pPr>
        <w:rPr>
          <w:rFonts w:asciiTheme="majorHAnsi" w:eastAsia="Franklin Gothic Book" w:hAnsiTheme="majorHAnsi" w:cs="Times New Roman"/>
          <w:sz w:val="23"/>
          <w:szCs w:val="23"/>
        </w:rPr>
      </w:pPr>
      <w:r w:rsidRPr="009C21DC">
        <w:rPr>
          <w:rFonts w:asciiTheme="majorHAnsi" w:eastAsia="Franklin Gothic Book" w:hAnsiTheme="majorHAnsi" w:cs="Times New Roman"/>
          <w:noProof/>
          <w:sz w:val="23"/>
          <w:szCs w:val="23"/>
          <w:lang w:eastAsia="en-AU"/>
        </w:rPr>
        <mc:AlternateContent>
          <mc:Choice Requires="wps">
            <w:drawing>
              <wp:anchor distT="45720" distB="45720" distL="114300" distR="114300" simplePos="0" relativeHeight="251659264" behindDoc="0" locked="0" layoutInCell="1" allowOverlap="1" wp14:anchorId="57B9B05F" wp14:editId="03A742B8">
                <wp:simplePos x="0" y="0"/>
                <wp:positionH relativeFrom="column">
                  <wp:posOffset>2030486</wp:posOffset>
                </wp:positionH>
                <wp:positionV relativeFrom="paragraph">
                  <wp:posOffset>2076450</wp:posOffset>
                </wp:positionV>
                <wp:extent cx="2360930" cy="14046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2D0A3A4" w14:textId="3A4C114B" w:rsidR="003C780C" w:rsidRPr="001A004B" w:rsidRDefault="001A004B" w:rsidP="00307C0A">
                            <w:pPr>
                              <w:rPr>
                                <w:rFonts w:ascii="Arial Narrow" w:hAnsi="Arial Narrow"/>
                                <w:b/>
                                <w:bCs/>
                                <w:color w:val="FFFFFF" w:themeColor="background1"/>
                                <w:sz w:val="48"/>
                              </w:rPr>
                            </w:pPr>
                            <w:r w:rsidRPr="001A004B">
                              <w:rPr>
                                <w:rFonts w:ascii="Arial Narrow" w:hAnsi="Arial Narrow"/>
                                <w:b/>
                                <w:bCs/>
                                <w:color w:val="FFFFFF" w:themeColor="background1"/>
                                <w:sz w:val="48"/>
                              </w:rPr>
                              <w:t>Belonging &amp; Inclusion Action Plan 2026-2027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B9B05F" id="_x0000_t202" coordsize="21600,21600" o:spt="202" path="m,l,21600r21600,l21600,xe">
                <v:stroke joinstyle="miter"/>
                <v:path gradientshapeok="t" o:connecttype="rect"/>
              </v:shapetype>
              <v:shape id="Text Box 2" o:spid="_x0000_s1026" type="#_x0000_t202" style="position:absolute;margin-left:159.9pt;margin-top:16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" filled="f" stroked="f">
                <v:textbox style="mso-fit-shape-to-text:t">
                  <w:txbxContent>
                    <w:p w14:paraId="72D0A3A4" w14:textId="3A4C114B" w:rsidR="003C780C" w:rsidRPr="001A004B" w:rsidRDefault="001A004B" w:rsidP="00307C0A">
                      <w:pPr>
                        <w:rPr>
                          <w:rFonts w:ascii="Arial Narrow" w:hAnsi="Arial Narrow"/>
                          <w:b/>
                          <w:bCs/>
                          <w:color w:val="FFFFFF" w:themeColor="background1"/>
                          <w:sz w:val="48"/>
                        </w:rPr>
                      </w:pPr>
                      <w:r w:rsidRPr="001A004B">
                        <w:rPr>
                          <w:rFonts w:ascii="Arial Narrow" w:hAnsi="Arial Narrow"/>
                          <w:b/>
                          <w:bCs/>
                          <w:color w:val="FFFFFF" w:themeColor="background1"/>
                          <w:sz w:val="48"/>
                        </w:rPr>
                        <w:t>Belonging &amp; Inclusion Action Plan 2026-2027</w:t>
                      </w:r>
                    </w:p>
                  </w:txbxContent>
                </v:textbox>
              </v:shape>
            </w:pict>
          </mc:Fallback>
        </mc:AlternateContent>
      </w:r>
      <w:r w:rsidRPr="009C21DC">
        <w:rPr>
          <w:rFonts w:asciiTheme="majorHAnsi" w:eastAsia="Franklin Gothic Book" w:hAnsiTheme="majorHAnsi" w:cs="Times New Roman"/>
          <w:noProof/>
          <w:sz w:val="23"/>
          <w:szCs w:val="23"/>
          <w:lang w:eastAsia="en-AU"/>
        </w:rPr>
        <mc:AlternateContent>
          <mc:Choice Requires="wps">
            <w:drawing>
              <wp:anchor distT="45720" distB="45720" distL="114300" distR="114300" simplePos="0" relativeHeight="251660288" behindDoc="0" locked="0" layoutInCell="1" allowOverlap="1" wp14:anchorId="42DEE620" wp14:editId="7C2F20BB">
                <wp:simplePos x="0" y="0"/>
                <wp:positionH relativeFrom="column">
                  <wp:posOffset>2027897</wp:posOffset>
                </wp:positionH>
                <wp:positionV relativeFrom="paragraph">
                  <wp:posOffset>1566838</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96B51A9" w14:textId="576704EC" w:rsidR="00307C0A" w:rsidRPr="009C21DC" w:rsidRDefault="001A004B" w:rsidP="00307C0A">
                            <w:pPr>
                              <w:rPr>
                                <w:rFonts w:ascii="Arial Narrow" w:hAnsi="Arial Narrow"/>
                                <w:color w:val="FFFFFF" w:themeColor="background1"/>
                                <w:sz w:val="48"/>
                              </w:rPr>
                            </w:pPr>
                            <w:r>
                              <w:rPr>
                                <w:rFonts w:ascii="Arial Narrow" w:hAnsi="Arial Narrow"/>
                                <w:color w:val="FFFFFF" w:themeColor="background1"/>
                                <w:sz w:val="48"/>
                              </w:rPr>
                              <w:t>Queensland Police Service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2DEE620" id="_x0000_s1027" type="#_x0000_t202" style="position:absolute;margin-left:159.7pt;margin-top:123.3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" filled="f" stroked="f">
                <v:textbox style="mso-fit-shape-to-text:t">
                  <w:txbxContent>
                    <w:p w14:paraId="496B51A9" w14:textId="576704EC" w:rsidR="00307C0A" w:rsidRPr="009C21DC" w:rsidRDefault="001A004B" w:rsidP="00307C0A">
                      <w:pPr>
                        <w:rPr>
                          <w:rFonts w:ascii="Arial Narrow" w:hAnsi="Arial Narrow"/>
                          <w:color w:val="FFFFFF" w:themeColor="background1"/>
                          <w:sz w:val="48"/>
                        </w:rPr>
                      </w:pPr>
                      <w:r>
                        <w:rPr>
                          <w:rFonts w:ascii="Arial Narrow" w:hAnsi="Arial Narrow"/>
                          <w:color w:val="FFFFFF" w:themeColor="background1"/>
                          <w:sz w:val="48"/>
                        </w:rPr>
                        <w:t>Queensland Police Service</w:t>
                      </w:r>
                    </w:p>
                  </w:txbxContent>
                </v:textbox>
              </v:shape>
            </w:pict>
          </mc:Fallback>
        </mc:AlternateContent>
      </w:r>
      <w:r>
        <w:rPr>
          <w:rFonts w:asciiTheme="majorHAnsi" w:eastAsia="Franklin Gothic Book" w:hAnsiTheme="majorHAnsi" w:cs="Times New Roman"/>
          <w:sz w:val="23"/>
          <w:szCs w:val="23"/>
        </w:rPr>
        <w:br w:type="page"/>
      </w:r>
    </w:p>
    <w:p w14:paraId="4CC319DF" w14:textId="7019FC8F" w:rsidR="00307C0A" w:rsidRPr="001A004B" w:rsidRDefault="001A004B" w:rsidP="00BF4840">
      <w:pPr>
        <w:pStyle w:val="Heading1"/>
      </w:pPr>
      <w:r w:rsidRPr="001A004B">
        <w:lastRenderedPageBreak/>
        <w:t xml:space="preserve">Purpose </w:t>
      </w:r>
      <w:r w:rsidRPr="00BF4840">
        <w:t>of</w:t>
      </w:r>
      <w:r w:rsidRPr="001A004B">
        <w:t xml:space="preserve"> this Action Plan </w:t>
      </w:r>
    </w:p>
    <w:p w14:paraId="73C46324" w14:textId="08CDD2CB" w:rsidR="00307C0A" w:rsidRDefault="001A004B" w:rsidP="001A004B">
      <w:pPr>
        <w:rPr>
          <w:rFonts w:cs="Arial"/>
        </w:rPr>
      </w:pPr>
      <w:r w:rsidRPr="001A004B">
        <w:rPr>
          <w:rFonts w:cs="Arial"/>
        </w:rPr>
        <w:t xml:space="preserve">The Queensland Police Service (QPS) </w:t>
      </w:r>
      <w:r w:rsidRPr="001A004B">
        <w:rPr>
          <w:rFonts w:cs="Arial"/>
          <w:b/>
          <w:bCs/>
        </w:rPr>
        <w:t xml:space="preserve">Belonging &amp; Inclusion </w:t>
      </w:r>
      <w:r w:rsidR="005A1D9C">
        <w:rPr>
          <w:rFonts w:cs="Arial"/>
          <w:b/>
          <w:bCs/>
        </w:rPr>
        <w:t xml:space="preserve">Action </w:t>
      </w:r>
      <w:r w:rsidRPr="001A004B">
        <w:rPr>
          <w:rFonts w:cs="Arial"/>
          <w:b/>
          <w:bCs/>
        </w:rPr>
        <w:t>Plan 2026-2027</w:t>
      </w:r>
      <w:r w:rsidRPr="001A004B">
        <w:rPr>
          <w:rFonts w:cs="Arial"/>
        </w:rPr>
        <w:t xml:space="preserve"> </w:t>
      </w:r>
      <w:r w:rsidR="005A1D9C">
        <w:rPr>
          <w:rFonts w:cs="Arial"/>
        </w:rPr>
        <w:t>details</w:t>
      </w:r>
      <w:r w:rsidRPr="001A004B">
        <w:rPr>
          <w:rFonts w:cs="Arial"/>
        </w:rPr>
        <w:t xml:space="preserve"> </w:t>
      </w:r>
      <w:r w:rsidR="005A1D9C">
        <w:rPr>
          <w:rFonts w:cs="Arial"/>
        </w:rPr>
        <w:t xml:space="preserve">the </w:t>
      </w:r>
      <w:r w:rsidRPr="001A004B">
        <w:rPr>
          <w:rFonts w:cs="Arial"/>
        </w:rPr>
        <w:t xml:space="preserve">practical </w:t>
      </w:r>
      <w:r w:rsidR="005A1D9C">
        <w:rPr>
          <w:rFonts w:cs="Arial"/>
        </w:rPr>
        <w:t>steps</w:t>
      </w:r>
      <w:r w:rsidRPr="001A004B">
        <w:rPr>
          <w:rFonts w:cs="Arial"/>
        </w:rPr>
        <w:t xml:space="preserve"> the QPS will take over the next 18 months to promote equity, diversity, respect, and inclusion (EDRI) in the workplace.</w:t>
      </w:r>
    </w:p>
    <w:p w14:paraId="3928D025" w14:textId="0ED52709" w:rsidR="001A004B" w:rsidRPr="001A004B" w:rsidRDefault="001A004B" w:rsidP="001A004B">
      <w:pPr>
        <w:rPr>
          <w:rFonts w:cs="Arial"/>
        </w:rPr>
      </w:pPr>
      <w:r>
        <w:rPr>
          <w:rFonts w:cs="Arial"/>
        </w:rPr>
        <w:t xml:space="preserve">This </w:t>
      </w:r>
      <w:r w:rsidR="005A1D9C">
        <w:rPr>
          <w:rFonts w:cs="Arial"/>
        </w:rPr>
        <w:t xml:space="preserve">action </w:t>
      </w:r>
      <w:r>
        <w:rPr>
          <w:rFonts w:cs="Arial"/>
        </w:rPr>
        <w:t xml:space="preserve">plan aligns with the vision for belonging and inclusion outlined in the </w:t>
      </w:r>
      <w:r w:rsidRPr="001A004B">
        <w:rPr>
          <w:rFonts w:cs="Arial"/>
          <w:b/>
          <w:bCs/>
        </w:rPr>
        <w:t>Belonging &amp; Inclusion Plan 2026-2030</w:t>
      </w:r>
      <w:r>
        <w:rPr>
          <w:rFonts w:cs="Arial"/>
        </w:rPr>
        <w:t xml:space="preserve"> and is </w:t>
      </w:r>
      <w:r w:rsidR="005A1D9C">
        <w:rPr>
          <w:rFonts w:cs="Arial"/>
        </w:rPr>
        <w:t>underpinned</w:t>
      </w:r>
      <w:r>
        <w:rPr>
          <w:rFonts w:cs="Arial"/>
        </w:rPr>
        <w:t xml:space="preserve"> by the </w:t>
      </w:r>
      <w:r w:rsidRPr="001A004B">
        <w:rPr>
          <w:rFonts w:cs="Arial"/>
          <w:b/>
          <w:bCs/>
        </w:rPr>
        <w:t>Belonging &amp; Inclusion Framework</w:t>
      </w:r>
      <w:r>
        <w:rPr>
          <w:rFonts w:cs="Arial"/>
        </w:rPr>
        <w:t xml:space="preserve">. </w:t>
      </w:r>
    </w:p>
    <w:p w14:paraId="501C41D5" w14:textId="298B39EC" w:rsidR="00307C0A" w:rsidRDefault="001A004B" w:rsidP="001A004B">
      <w:pPr>
        <w:pStyle w:val="Heading1"/>
      </w:pPr>
      <w:r>
        <w:t xml:space="preserve">Strategic </w:t>
      </w:r>
      <w:r w:rsidR="005A1D9C">
        <w:t>Context</w:t>
      </w:r>
      <w:r>
        <w:t xml:space="preserve"> </w:t>
      </w:r>
    </w:p>
    <w:p w14:paraId="23FB908D" w14:textId="78A577BB" w:rsidR="001A004B" w:rsidRDefault="001A004B" w:rsidP="001A004B">
      <w:r>
        <w:rPr>
          <w:lang w:eastAsia="en-AU"/>
        </w:rPr>
        <w:t xml:space="preserve">This </w:t>
      </w:r>
      <w:r w:rsidR="005A1D9C">
        <w:rPr>
          <w:lang w:eastAsia="en-AU"/>
        </w:rPr>
        <w:t xml:space="preserve">action </w:t>
      </w:r>
      <w:r>
        <w:t>plan focuses on key activities to help achieve our shared vision of a</w:t>
      </w:r>
      <w:r w:rsidRPr="001E2F73">
        <w:t xml:space="preserve"> </w:t>
      </w:r>
      <w:r>
        <w:t>QPS</w:t>
      </w:r>
      <w:r w:rsidRPr="001E2F73">
        <w:t xml:space="preserve"> where everyone experiences a genuine sense of belonging</w:t>
      </w:r>
      <w:r>
        <w:t xml:space="preserve"> and inclusion</w:t>
      </w:r>
      <w:r w:rsidRPr="001E2F73">
        <w:t>, collectively united by our shared purpose of keeping Queensland’s communities safe and feeling safe.</w:t>
      </w:r>
      <w:r>
        <w:t xml:space="preserve">  </w:t>
      </w:r>
    </w:p>
    <w:p w14:paraId="4C5180C8" w14:textId="77777777" w:rsidR="00417867" w:rsidRDefault="001A004B" w:rsidP="001A004B">
      <w:r>
        <w:t>The</w:t>
      </w:r>
      <w:r w:rsidR="005A1D9C">
        <w:t xml:space="preserve"> action</w:t>
      </w:r>
      <w:r>
        <w:t xml:space="preserve"> </w:t>
      </w:r>
      <w:r w:rsidRPr="005A7DE8">
        <w:t xml:space="preserve">plan is </w:t>
      </w:r>
      <w:r>
        <w:t>informed</w:t>
      </w:r>
      <w:r w:rsidRPr="005A7DE8">
        <w:t xml:space="preserve"> by the findings of the QPS Equity and Diversity Audit (April 2025) </w:t>
      </w:r>
      <w:r>
        <w:t>and is part of</w:t>
      </w:r>
      <w:r w:rsidRPr="005A7DE8">
        <w:t xml:space="preserve"> a larger framework of strategies, plans, and initiatives that </w:t>
      </w:r>
      <w:r w:rsidR="00B3588E">
        <w:t xml:space="preserve">together </w:t>
      </w:r>
      <w:r w:rsidRPr="005A7DE8">
        <w:t xml:space="preserve">promote EDRI across the QPS. </w:t>
      </w:r>
    </w:p>
    <w:p w14:paraId="04E54718" w14:textId="6F7B78B2" w:rsidR="001A004B" w:rsidRDefault="00417867" w:rsidP="001A004B">
      <w:r>
        <w:t>To avoid</w:t>
      </w:r>
      <w:r w:rsidR="001A004B">
        <w:t xml:space="preserve"> duplicating </w:t>
      </w:r>
      <w:r w:rsidR="00B3588E">
        <w:t>existing efforts</w:t>
      </w:r>
      <w:r w:rsidR="001A004B">
        <w:t>,</w:t>
      </w:r>
      <w:r w:rsidR="001A004B" w:rsidRPr="005A7DE8">
        <w:t xml:space="preserve"> </w:t>
      </w:r>
      <w:r>
        <w:t>this action plan</w:t>
      </w:r>
      <w:r w:rsidR="001A004B" w:rsidRPr="005A7DE8">
        <w:t xml:space="preserve"> </w:t>
      </w:r>
      <w:r w:rsidR="001A004B">
        <w:t>builds</w:t>
      </w:r>
      <w:r w:rsidR="001A004B" w:rsidRPr="005A7DE8">
        <w:t xml:space="preserve"> on </w:t>
      </w:r>
      <w:r w:rsidR="00B3588E">
        <w:t>the progress already underway by</w:t>
      </w:r>
      <w:r w:rsidR="001A004B">
        <w:t xml:space="preserve"> addressing gaps and </w:t>
      </w:r>
      <w:r>
        <w:t>leveraging</w:t>
      </w:r>
      <w:r w:rsidR="001A004B">
        <w:t xml:space="preserve"> opportunities </w:t>
      </w:r>
      <w:r>
        <w:t>for improvement</w:t>
      </w:r>
      <w:r w:rsidR="001A004B" w:rsidRPr="005A7DE8">
        <w:t>.</w:t>
      </w:r>
      <w:r w:rsidR="001A004B">
        <w:t xml:space="preserve"> </w:t>
      </w:r>
      <w:r w:rsidR="00B3588E">
        <w:t>It is supported by</w:t>
      </w:r>
      <w:r w:rsidR="001A004B">
        <w:t xml:space="preserve"> key </w:t>
      </w:r>
      <w:r w:rsidR="00B3588E">
        <w:t>priorities,</w:t>
      </w:r>
      <w:r w:rsidR="00B3588E" w:rsidRPr="00B3588E">
        <w:t xml:space="preserve"> </w:t>
      </w:r>
      <w:r w:rsidR="00B3588E">
        <w:t>reform programs, and</w:t>
      </w:r>
      <w:r w:rsidR="001A004B">
        <w:t xml:space="preserve"> legislation, </w:t>
      </w:r>
      <w:r w:rsidR="00B3588E">
        <w:t>including</w:t>
      </w:r>
      <w:r w:rsidR="001A004B">
        <w:t xml:space="preserve">: </w:t>
      </w:r>
    </w:p>
    <w:p w14:paraId="6AE51D56" w14:textId="77777777" w:rsidR="001A004B" w:rsidRDefault="001A004B" w:rsidP="001A004B">
      <w:pPr>
        <w:pStyle w:val="AADotPoint1"/>
        <w:spacing w:before="0"/>
        <w:contextualSpacing/>
      </w:pPr>
      <w:r>
        <w:t>Queensland Government election commitments</w:t>
      </w:r>
    </w:p>
    <w:p w14:paraId="72A3603A" w14:textId="77777777" w:rsidR="001A004B" w:rsidRDefault="001A004B" w:rsidP="001A004B">
      <w:pPr>
        <w:pStyle w:val="AADotPoint1"/>
        <w:spacing w:before="0"/>
        <w:contextualSpacing/>
      </w:pPr>
      <w:r>
        <w:t>Ministerial Charter Letter</w:t>
      </w:r>
    </w:p>
    <w:p w14:paraId="00AF982C" w14:textId="77777777" w:rsidR="001A004B" w:rsidRDefault="001A004B" w:rsidP="001A004B">
      <w:pPr>
        <w:pStyle w:val="AADotPoint1"/>
        <w:spacing w:before="0"/>
        <w:contextualSpacing/>
      </w:pPr>
      <w:r>
        <w:t>QPS Strategic Plan</w:t>
      </w:r>
    </w:p>
    <w:p w14:paraId="6B6D7047" w14:textId="77777777" w:rsidR="001A004B" w:rsidRDefault="001A004B" w:rsidP="001A004B">
      <w:pPr>
        <w:pStyle w:val="AADotPoint1"/>
        <w:spacing w:before="0"/>
        <w:contextualSpacing/>
      </w:pPr>
      <w:r>
        <w:t xml:space="preserve">QPS Operational Plan </w:t>
      </w:r>
    </w:p>
    <w:p w14:paraId="607938A5" w14:textId="6754F79F" w:rsidR="001A004B" w:rsidRDefault="001A004B" w:rsidP="001A004B">
      <w:pPr>
        <w:pStyle w:val="AADotPoint1"/>
        <w:spacing w:before="0"/>
        <w:contextualSpacing/>
      </w:pPr>
      <w:r>
        <w:t>Commissioner’s 100-Day Review of the Queensland Police Service (100DR)</w:t>
      </w:r>
    </w:p>
    <w:p w14:paraId="257F0A0E" w14:textId="77777777" w:rsidR="001A004B" w:rsidRDefault="001A004B" w:rsidP="001A004B">
      <w:pPr>
        <w:pStyle w:val="AADotPoint1"/>
        <w:spacing w:before="0"/>
        <w:contextualSpacing/>
      </w:pPr>
      <w:r>
        <w:t>QPS Transformation Roadmap</w:t>
      </w:r>
    </w:p>
    <w:p w14:paraId="15B17515" w14:textId="792B8EA6" w:rsidR="001A004B" w:rsidRDefault="001A004B" w:rsidP="001A004B">
      <w:pPr>
        <w:pStyle w:val="AADotPoint1"/>
        <w:spacing w:before="0"/>
        <w:contextualSpacing/>
      </w:pPr>
      <w:r>
        <w:t>QPS Multicultural Action Plan</w:t>
      </w:r>
    </w:p>
    <w:p w14:paraId="53E570BB" w14:textId="77777777" w:rsidR="001A004B" w:rsidRDefault="001A004B" w:rsidP="001A004B">
      <w:pPr>
        <w:pStyle w:val="AADotPoint1"/>
        <w:spacing w:before="0"/>
        <w:contextualSpacing/>
      </w:pPr>
      <w:r>
        <w:t>QPS Reframing the Relationship Plan</w:t>
      </w:r>
    </w:p>
    <w:p w14:paraId="2422A86D" w14:textId="77777777" w:rsidR="001A004B" w:rsidRDefault="001A004B" w:rsidP="001A004B">
      <w:pPr>
        <w:pStyle w:val="AADotPoint1"/>
        <w:spacing w:before="0"/>
        <w:contextualSpacing/>
      </w:pPr>
      <w:r>
        <w:t>QPS Disability Service Plan</w:t>
      </w:r>
    </w:p>
    <w:p w14:paraId="60A4260D" w14:textId="77777777" w:rsidR="001A004B" w:rsidRPr="00E3660E" w:rsidRDefault="001A004B" w:rsidP="001A004B">
      <w:pPr>
        <w:pStyle w:val="AADotPoint1"/>
        <w:spacing w:before="0"/>
        <w:contextualSpacing/>
        <w:rPr>
          <w:i/>
          <w:iCs/>
        </w:rPr>
      </w:pPr>
      <w:r w:rsidRPr="00E3660E">
        <w:rPr>
          <w:i/>
          <w:iCs/>
        </w:rPr>
        <w:t>Public Sector Act 2022</w:t>
      </w:r>
    </w:p>
    <w:p w14:paraId="1454B35E" w14:textId="17DD9E51" w:rsidR="001A004B" w:rsidRPr="00E3660E" w:rsidRDefault="001A004B" w:rsidP="001A004B">
      <w:pPr>
        <w:pStyle w:val="AADotPoint1"/>
        <w:spacing w:before="0"/>
        <w:contextualSpacing/>
        <w:rPr>
          <w:i/>
          <w:iCs/>
        </w:rPr>
      </w:pPr>
      <w:r w:rsidRPr="00E3660E">
        <w:rPr>
          <w:i/>
          <w:iCs/>
        </w:rPr>
        <w:t>Anti-Discrimination Act 1991</w:t>
      </w:r>
    </w:p>
    <w:p w14:paraId="1071CD2E" w14:textId="77777777" w:rsidR="001A004B" w:rsidRPr="00E3660E" w:rsidRDefault="001A004B" w:rsidP="001A004B">
      <w:pPr>
        <w:pStyle w:val="AADotPoint1"/>
        <w:spacing w:before="0"/>
        <w:contextualSpacing/>
        <w:rPr>
          <w:i/>
          <w:iCs/>
        </w:rPr>
      </w:pPr>
      <w:r w:rsidRPr="00E3660E">
        <w:rPr>
          <w:i/>
          <w:iCs/>
        </w:rPr>
        <w:t>Human Rights Act 2019</w:t>
      </w:r>
    </w:p>
    <w:p w14:paraId="78D921BE" w14:textId="77777777" w:rsidR="001A004B" w:rsidRDefault="001A004B" w:rsidP="001A004B">
      <w:pPr>
        <w:pStyle w:val="AADotPoint1"/>
        <w:spacing w:before="0"/>
        <w:contextualSpacing/>
        <w:rPr>
          <w:i/>
          <w:iCs/>
        </w:rPr>
      </w:pPr>
      <w:r w:rsidRPr="00E3660E">
        <w:rPr>
          <w:i/>
          <w:iCs/>
        </w:rPr>
        <w:t>Work Health and Safety Act 2011</w:t>
      </w:r>
    </w:p>
    <w:p w14:paraId="5D3B593E" w14:textId="3427B5BD" w:rsidR="001A004B" w:rsidRDefault="001A004B" w:rsidP="001A004B">
      <w:pPr>
        <w:pStyle w:val="Heading1"/>
      </w:pPr>
      <w:r>
        <w:t xml:space="preserve">Monitoring Progress </w:t>
      </w:r>
      <w:r w:rsidR="0042787E">
        <w:t>&amp;</w:t>
      </w:r>
      <w:r>
        <w:t xml:space="preserve"> Impact</w:t>
      </w:r>
    </w:p>
    <w:p w14:paraId="08BC163B" w14:textId="427F8D36" w:rsidR="001A004B" w:rsidRDefault="001A004B" w:rsidP="001A004B">
      <w:r>
        <w:t xml:space="preserve">Performance against this </w:t>
      </w:r>
      <w:r w:rsidR="005A1D9C">
        <w:t xml:space="preserve">action </w:t>
      </w:r>
      <w:r>
        <w:t xml:space="preserve">plan will be monitored </w:t>
      </w:r>
      <w:r w:rsidRPr="00C20EDA">
        <w:t xml:space="preserve">through regular reporting via the QPS governance framework and reviewed annually through our </w:t>
      </w:r>
      <w:r w:rsidR="00142E61">
        <w:t xml:space="preserve">workforce </w:t>
      </w:r>
      <w:r w:rsidRPr="00C20EDA">
        <w:t>equity and diversity audit.</w:t>
      </w:r>
    </w:p>
    <w:p w14:paraId="32AD81B8" w14:textId="51F6344A" w:rsidR="001A004B" w:rsidRDefault="001A004B" w:rsidP="001A004B">
      <w:r w:rsidRPr="00284001">
        <w:t>These</w:t>
      </w:r>
      <w:r w:rsidRPr="00C20EDA">
        <w:rPr>
          <w:rFonts w:ascii="Noto Sans" w:hAnsi="Noto Sans" w:cs="Noto Sans"/>
          <w:color w:val="414141"/>
          <w:sz w:val="19"/>
          <w:szCs w:val="19"/>
          <w:shd w:val="clear" w:color="auto" w:fill="F5F5F5"/>
        </w:rPr>
        <w:t xml:space="preserve"> </w:t>
      </w:r>
      <w:r w:rsidRPr="00C20EDA">
        <w:t xml:space="preserve">audits collect information about our workforce, evaluate the effectiveness of our belonging and inclusion activities, and identify areas for improvement. They draw on workforce </w:t>
      </w:r>
      <w:r w:rsidR="00B3588E">
        <w:t xml:space="preserve">surveys, </w:t>
      </w:r>
      <w:r w:rsidRPr="00C20EDA">
        <w:t>data</w:t>
      </w:r>
      <w:r w:rsidR="00B3588E">
        <w:t>,</w:t>
      </w:r>
      <w:r w:rsidRPr="00C20EDA">
        <w:t xml:space="preserve"> </w:t>
      </w:r>
      <w:r w:rsidR="00B3588E">
        <w:t>and analytics</w:t>
      </w:r>
      <w:r w:rsidRPr="00C20EDA">
        <w:t>, and serve as a valuable tool for measuring progress over time.</w:t>
      </w:r>
    </w:p>
    <w:p w14:paraId="08FFDD1A" w14:textId="6A76BED0" w:rsidR="001A004B" w:rsidRDefault="001A004B" w:rsidP="001A004B">
      <w:pPr>
        <w:pStyle w:val="Heading1"/>
      </w:pPr>
      <w:r>
        <w:t>Enablers of Success</w:t>
      </w:r>
    </w:p>
    <w:p w14:paraId="289FF53B" w14:textId="21F229A6" w:rsidR="001A004B" w:rsidRDefault="001A004B" w:rsidP="001A004B">
      <w:r>
        <w:rPr>
          <w:lang w:eastAsia="en-AU"/>
        </w:rPr>
        <w:t xml:space="preserve">The Enablers of Success from the </w:t>
      </w:r>
      <w:r w:rsidRPr="001A004B">
        <w:rPr>
          <w:b/>
          <w:bCs/>
          <w:lang w:eastAsia="en-AU"/>
        </w:rPr>
        <w:t xml:space="preserve">Belonging &amp; Inclusion Framework </w:t>
      </w:r>
      <w:r>
        <w:rPr>
          <w:lang w:eastAsia="en-AU"/>
        </w:rPr>
        <w:t xml:space="preserve">provide the foundation for achieving belonging and inclusion. They act as practical tools </w:t>
      </w:r>
      <w:r w:rsidRPr="00C20EDA">
        <w:t xml:space="preserve">to guide the planning, delivery, and evaluation of </w:t>
      </w:r>
      <w:r w:rsidR="005A1D9C">
        <w:t>the activities</w:t>
      </w:r>
      <w:r w:rsidRPr="00C20EDA">
        <w:t xml:space="preserve"> in this </w:t>
      </w:r>
      <w:r w:rsidR="005A1D9C">
        <w:t xml:space="preserve">action </w:t>
      </w:r>
      <w:r w:rsidRPr="00C20EDA">
        <w:t>plan.</w:t>
      </w:r>
    </w:p>
    <w:p w14:paraId="62F1D92C" w14:textId="62347867" w:rsidR="001A004B" w:rsidRPr="005A1D9C" w:rsidRDefault="001A004B" w:rsidP="00307C0A">
      <w:pPr>
        <w:rPr>
          <w:lang w:eastAsia="en-AU"/>
        </w:rPr>
        <w:sectPr w:rsidR="001A004B" w:rsidRPr="005A1D9C" w:rsidSect="00007D47">
          <w:headerReference w:type="default" r:id="rId11"/>
          <w:footerReference w:type="default" r:id="rId12"/>
          <w:headerReference w:type="first" r:id="rId13"/>
          <w:pgSz w:w="16820" w:h="11900" w:orient="landscape"/>
          <w:pgMar w:top="1440" w:right="1440" w:bottom="1440" w:left="1440" w:header="0" w:footer="0" w:gutter="0"/>
          <w:cols w:num="2" w:space="1021"/>
          <w:titlePg/>
          <w:docGrid w:linePitch="360"/>
        </w:sectPr>
      </w:pPr>
      <w:r>
        <w:t>R</w:t>
      </w:r>
      <w:r w:rsidRPr="005A7DE8">
        <w:t xml:space="preserve">esponsible </w:t>
      </w:r>
      <w:r>
        <w:t>officers and areas</w:t>
      </w:r>
      <w:r w:rsidRPr="005A7DE8">
        <w:t xml:space="preserve"> </w:t>
      </w:r>
      <w:r>
        <w:t>should</w:t>
      </w:r>
      <w:r w:rsidRPr="005A7DE8">
        <w:t xml:space="preserve"> use the enablers as a </w:t>
      </w:r>
      <w:r>
        <w:t>framework</w:t>
      </w:r>
      <w:r w:rsidRPr="005A7DE8">
        <w:t xml:space="preserve"> </w:t>
      </w:r>
      <w:r w:rsidRPr="00343061">
        <w:t>to embed belonging and inclusion into every activity, project, and decision</w:t>
      </w:r>
      <w:r w:rsidR="009B7252">
        <w:t>.</w:t>
      </w:r>
    </w:p>
    <w:p w14:paraId="20875A27" w14:textId="012BFD86" w:rsidR="00307C0A" w:rsidRDefault="001A004B" w:rsidP="00BF4840">
      <w:pPr>
        <w:pStyle w:val="Heading1"/>
        <w:spacing w:after="120"/>
      </w:pPr>
      <w:r>
        <w:lastRenderedPageBreak/>
        <w:t>Belonging &amp; Inclusion Enablers of Success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dashed" w:sz="6" w:space="0" w:color="4472C4" w:themeColor="accent1"/>
        </w:tblBorders>
        <w:tblCellMar>
          <w:top w:w="170" w:type="dxa"/>
          <w:left w:w="198" w:type="dxa"/>
          <w:bottom w:w="113" w:type="dxa"/>
        </w:tblCellMar>
        <w:tblLook w:val="04A0" w:firstRow="1" w:lastRow="0" w:firstColumn="1" w:lastColumn="0" w:noHBand="0" w:noVBand="1"/>
      </w:tblPr>
      <w:tblGrid>
        <w:gridCol w:w="2806"/>
        <w:gridCol w:w="2807"/>
        <w:gridCol w:w="2807"/>
        <w:gridCol w:w="2807"/>
        <w:gridCol w:w="2807"/>
      </w:tblGrid>
      <w:tr w:rsidR="001A004B" w14:paraId="68ACF38C" w14:textId="77777777" w:rsidTr="00BF4840">
        <w:tc>
          <w:tcPr>
            <w:tcW w:w="2806" w:type="dxa"/>
            <w:shd w:val="clear" w:color="auto" w:fill="auto"/>
            <w:tcMar>
              <w:top w:w="57" w:type="dxa"/>
            </w:tcMar>
          </w:tcPr>
          <w:p w14:paraId="01B82EF2" w14:textId="77777777" w:rsidR="001A004B" w:rsidRPr="00437BFE" w:rsidRDefault="001A004B" w:rsidP="00164271">
            <w:pPr>
              <w:spacing w:before="0"/>
              <w:rPr>
                <w:b/>
                <w:bCs/>
                <w:color w:val="1F3864" w:themeColor="accent1" w:themeShade="80"/>
              </w:rPr>
            </w:pPr>
            <w:r w:rsidRPr="00437BFE">
              <w:rPr>
                <w:b/>
                <w:bCs/>
                <w:noProof/>
                <w:color w:val="1F3864" w:themeColor="accent1" w:themeShade="80"/>
              </w:rPr>
              <w:drawing>
                <wp:inline distT="0" distB="0" distL="0" distR="0" wp14:anchorId="39794AA8" wp14:editId="4BABB460">
                  <wp:extent cx="684000" cy="684000"/>
                  <wp:effectExtent l="0" t="0" r="1905" b="1905"/>
                  <wp:docPr id="1469452771" name="Graphic 1"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52771" name="Graphic 1469452771" descr="Steering Wheel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684000" cy="684000"/>
                          </a:xfrm>
                          <a:prstGeom prst="rect">
                            <a:avLst/>
                          </a:prstGeom>
                        </pic:spPr>
                      </pic:pic>
                    </a:graphicData>
                  </a:graphic>
                </wp:inline>
              </w:drawing>
            </w:r>
          </w:p>
          <w:p w14:paraId="11EDB569" w14:textId="77777777" w:rsidR="001A004B" w:rsidRPr="00437BFE" w:rsidRDefault="001A004B" w:rsidP="00164271">
            <w:pPr>
              <w:spacing w:before="0"/>
              <w:rPr>
                <w:b/>
                <w:bCs/>
                <w:color w:val="1F3864" w:themeColor="accent1" w:themeShade="80"/>
              </w:rPr>
            </w:pPr>
            <w:r w:rsidRPr="00437BFE">
              <w:rPr>
                <w:b/>
                <w:bCs/>
                <w:color w:val="1F3864" w:themeColor="accent1" w:themeShade="80"/>
              </w:rPr>
              <w:t xml:space="preserve">Inclusive Leadership                 </w:t>
            </w:r>
          </w:p>
          <w:p w14:paraId="6755392A" w14:textId="77777777" w:rsidR="001A004B" w:rsidRPr="00437BFE" w:rsidRDefault="001A004B" w:rsidP="00164271">
            <w:pPr>
              <w:spacing w:before="0"/>
              <w:rPr>
                <w:b/>
                <w:bCs/>
                <w:color w:val="1F3864" w:themeColor="accent1" w:themeShade="80"/>
              </w:rPr>
            </w:pPr>
            <w:r w:rsidRPr="00437BFE">
              <w:rPr>
                <w:b/>
                <w:bCs/>
                <w:color w:val="1F3864" w:themeColor="accent1" w:themeShade="80"/>
              </w:rPr>
              <w:t>&amp; Governance</w:t>
            </w:r>
          </w:p>
        </w:tc>
        <w:tc>
          <w:tcPr>
            <w:tcW w:w="2807" w:type="dxa"/>
            <w:shd w:val="clear" w:color="auto" w:fill="auto"/>
            <w:tcMar>
              <w:top w:w="57" w:type="dxa"/>
            </w:tcMar>
          </w:tcPr>
          <w:p w14:paraId="4B7EDDB1" w14:textId="1B6E323E" w:rsidR="001A004B" w:rsidRPr="00437BFE" w:rsidRDefault="00BF4840" w:rsidP="00164271">
            <w:pPr>
              <w:spacing w:before="0"/>
              <w:rPr>
                <w:b/>
                <w:bCs/>
                <w:color w:val="1F3864" w:themeColor="accent1" w:themeShade="80"/>
              </w:rPr>
            </w:pPr>
            <w:r w:rsidRPr="00437BFE">
              <w:rPr>
                <w:b/>
                <w:bCs/>
                <w:noProof/>
                <w:color w:val="1F3864" w:themeColor="accent1" w:themeShade="80"/>
              </w:rPr>
              <w:drawing>
                <wp:inline distT="0" distB="0" distL="0" distR="0" wp14:anchorId="3ABFFC10" wp14:editId="153398C6">
                  <wp:extent cx="684000" cy="684000"/>
                  <wp:effectExtent l="0" t="0" r="1905" b="0"/>
                  <wp:docPr id="20915944" name="Graphic 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5944" name="Graphic 20915944" descr="Chat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684000" cy="684000"/>
                          </a:xfrm>
                          <a:prstGeom prst="rect">
                            <a:avLst/>
                          </a:prstGeom>
                        </pic:spPr>
                      </pic:pic>
                    </a:graphicData>
                  </a:graphic>
                </wp:inline>
              </w:drawing>
            </w:r>
          </w:p>
          <w:p w14:paraId="5D0BBC8B" w14:textId="77777777" w:rsidR="001A004B" w:rsidRPr="00437BFE" w:rsidRDefault="001A004B" w:rsidP="00164271">
            <w:pPr>
              <w:spacing w:before="0"/>
              <w:rPr>
                <w:b/>
                <w:bCs/>
                <w:color w:val="1F3864" w:themeColor="accent1" w:themeShade="80"/>
              </w:rPr>
            </w:pPr>
            <w:r w:rsidRPr="00437BFE">
              <w:rPr>
                <w:b/>
                <w:bCs/>
                <w:color w:val="1F3864" w:themeColor="accent1" w:themeShade="80"/>
              </w:rPr>
              <w:t xml:space="preserve">Communication </w:t>
            </w:r>
          </w:p>
          <w:p w14:paraId="264D1A42" w14:textId="77777777" w:rsidR="001A004B" w:rsidRPr="00437BFE" w:rsidRDefault="001A004B" w:rsidP="00164271">
            <w:pPr>
              <w:spacing w:before="0"/>
              <w:rPr>
                <w:b/>
                <w:bCs/>
                <w:color w:val="1F3864" w:themeColor="accent1" w:themeShade="80"/>
              </w:rPr>
            </w:pPr>
            <w:r w:rsidRPr="00437BFE">
              <w:rPr>
                <w:b/>
                <w:bCs/>
                <w:color w:val="1F3864" w:themeColor="accent1" w:themeShade="80"/>
              </w:rPr>
              <w:t>&amp; Everyday Engagement</w:t>
            </w:r>
          </w:p>
        </w:tc>
        <w:tc>
          <w:tcPr>
            <w:tcW w:w="2807" w:type="dxa"/>
            <w:shd w:val="clear" w:color="auto" w:fill="auto"/>
            <w:tcMar>
              <w:top w:w="57" w:type="dxa"/>
            </w:tcMar>
          </w:tcPr>
          <w:p w14:paraId="76F50FD1" w14:textId="77777777" w:rsidR="001A004B" w:rsidRPr="00437BFE" w:rsidRDefault="001A004B" w:rsidP="00164271">
            <w:pPr>
              <w:spacing w:before="0"/>
              <w:rPr>
                <w:b/>
                <w:bCs/>
                <w:color w:val="1F3864" w:themeColor="accent1" w:themeShade="80"/>
              </w:rPr>
            </w:pPr>
            <w:r w:rsidRPr="00437BFE">
              <w:rPr>
                <w:b/>
                <w:bCs/>
                <w:noProof/>
                <w:color w:val="1F3864" w:themeColor="accent1" w:themeShade="80"/>
              </w:rPr>
              <w:drawing>
                <wp:inline distT="0" distB="0" distL="0" distR="0" wp14:anchorId="48D4218B" wp14:editId="7778ABDC">
                  <wp:extent cx="684000" cy="684000"/>
                  <wp:effectExtent l="0" t="0" r="1905" b="0"/>
                  <wp:docPr id="1170646741" name="Graphic 3" descr="Open boo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46741" name="Graphic 1170646741" descr="Open book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684000" cy="684000"/>
                          </a:xfrm>
                          <a:prstGeom prst="rect">
                            <a:avLst/>
                          </a:prstGeom>
                        </pic:spPr>
                      </pic:pic>
                    </a:graphicData>
                  </a:graphic>
                </wp:inline>
              </w:drawing>
            </w:r>
          </w:p>
          <w:p w14:paraId="326CCDD2" w14:textId="77777777" w:rsidR="001A004B" w:rsidRPr="00437BFE" w:rsidRDefault="001A004B" w:rsidP="00164271">
            <w:pPr>
              <w:spacing w:before="0"/>
              <w:rPr>
                <w:b/>
                <w:bCs/>
                <w:color w:val="1F3864" w:themeColor="accent1" w:themeShade="80"/>
              </w:rPr>
            </w:pPr>
            <w:r w:rsidRPr="00437BFE">
              <w:rPr>
                <w:b/>
                <w:bCs/>
                <w:color w:val="1F3864" w:themeColor="accent1" w:themeShade="80"/>
              </w:rPr>
              <w:t xml:space="preserve">Capability </w:t>
            </w:r>
          </w:p>
          <w:p w14:paraId="1320C5BC" w14:textId="77777777" w:rsidR="001A004B" w:rsidRPr="00437BFE" w:rsidRDefault="001A004B" w:rsidP="00164271">
            <w:pPr>
              <w:spacing w:before="0"/>
              <w:rPr>
                <w:b/>
                <w:bCs/>
                <w:color w:val="1F3864" w:themeColor="accent1" w:themeShade="80"/>
              </w:rPr>
            </w:pPr>
            <w:r w:rsidRPr="00437BFE">
              <w:rPr>
                <w:b/>
                <w:bCs/>
                <w:color w:val="1F3864" w:themeColor="accent1" w:themeShade="80"/>
              </w:rPr>
              <w:t>&amp; Learning</w:t>
            </w:r>
          </w:p>
        </w:tc>
        <w:tc>
          <w:tcPr>
            <w:tcW w:w="2807" w:type="dxa"/>
            <w:shd w:val="clear" w:color="auto" w:fill="auto"/>
            <w:tcMar>
              <w:top w:w="57" w:type="dxa"/>
            </w:tcMar>
          </w:tcPr>
          <w:p w14:paraId="6B4E8BF8" w14:textId="77777777" w:rsidR="001A004B" w:rsidRPr="00437BFE" w:rsidRDefault="001A004B" w:rsidP="00164271">
            <w:pPr>
              <w:spacing w:before="0"/>
              <w:rPr>
                <w:b/>
                <w:bCs/>
                <w:color w:val="1F3864" w:themeColor="accent1" w:themeShade="80"/>
              </w:rPr>
            </w:pPr>
            <w:r w:rsidRPr="00437BFE">
              <w:rPr>
                <w:b/>
                <w:bCs/>
                <w:noProof/>
                <w:color w:val="1F3864" w:themeColor="accent1" w:themeShade="80"/>
              </w:rPr>
              <w:drawing>
                <wp:inline distT="0" distB="0" distL="0" distR="0" wp14:anchorId="5E79C668" wp14:editId="6B65FF25">
                  <wp:extent cx="684000" cy="684000"/>
                  <wp:effectExtent l="0" t="0" r="0" b="0"/>
                  <wp:docPr id="639905052" name="Graphic 4" descr="Single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05052" name="Graphic 639905052" descr="Single gear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684000" cy="684000"/>
                          </a:xfrm>
                          <a:prstGeom prst="rect">
                            <a:avLst/>
                          </a:prstGeom>
                        </pic:spPr>
                      </pic:pic>
                    </a:graphicData>
                  </a:graphic>
                </wp:inline>
              </w:drawing>
            </w:r>
          </w:p>
          <w:p w14:paraId="3F5C9EA8" w14:textId="0633A9D7" w:rsidR="001A004B" w:rsidRPr="00437BFE" w:rsidRDefault="001A004B" w:rsidP="00164271">
            <w:pPr>
              <w:spacing w:before="0"/>
              <w:rPr>
                <w:b/>
                <w:bCs/>
                <w:color w:val="1F3864" w:themeColor="accent1" w:themeShade="80"/>
              </w:rPr>
            </w:pPr>
            <w:r w:rsidRPr="00437BFE">
              <w:rPr>
                <w:b/>
                <w:bCs/>
                <w:color w:val="1F3864" w:themeColor="accent1" w:themeShade="80"/>
              </w:rPr>
              <w:t>Systems, Processes                            &amp; Polic</w:t>
            </w:r>
            <w:r w:rsidR="00BF4840" w:rsidRPr="00437BFE">
              <w:rPr>
                <w:b/>
                <w:bCs/>
                <w:color w:val="1F3864" w:themeColor="accent1" w:themeShade="80"/>
              </w:rPr>
              <w:t>ies</w:t>
            </w:r>
          </w:p>
        </w:tc>
        <w:tc>
          <w:tcPr>
            <w:tcW w:w="2807" w:type="dxa"/>
            <w:shd w:val="clear" w:color="auto" w:fill="auto"/>
            <w:tcMar>
              <w:top w:w="57" w:type="dxa"/>
            </w:tcMar>
          </w:tcPr>
          <w:p w14:paraId="5F3F6CB8" w14:textId="77777777" w:rsidR="001A004B" w:rsidRPr="00437BFE" w:rsidRDefault="001A004B" w:rsidP="00164271">
            <w:pPr>
              <w:spacing w:before="0"/>
              <w:rPr>
                <w:b/>
                <w:bCs/>
                <w:color w:val="1F3864" w:themeColor="accent1" w:themeShade="80"/>
              </w:rPr>
            </w:pPr>
            <w:r w:rsidRPr="00437BFE">
              <w:rPr>
                <w:b/>
                <w:bCs/>
                <w:noProof/>
                <w:color w:val="1F3864" w:themeColor="accent1" w:themeShade="80"/>
              </w:rPr>
              <w:drawing>
                <wp:inline distT="0" distB="0" distL="0" distR="0" wp14:anchorId="7DBFF748" wp14:editId="42FA21C2">
                  <wp:extent cx="697934" cy="684000"/>
                  <wp:effectExtent l="0" t="0" r="0" b="0"/>
                  <wp:docPr id="1086848924" name="Graphic 5"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48924" name="Graphic 1086848924" descr="Bar chart with solid fill"/>
                          <pic:cNvPicPr/>
                        </pic:nvPicPr>
                        <pic:blipFill>
                          <a:blip r:embed="rId22">
                            <a:extLst>
                              <a:ext uri="{96DAC541-7B7A-43D3-8B79-37D633B846F1}">
                                <asvg:svgBlip xmlns:asvg="http://schemas.microsoft.com/office/drawing/2016/SVG/main" r:embed="rId23"/>
                              </a:ext>
                            </a:extLst>
                          </a:blip>
                          <a:stretch>
                            <a:fillRect/>
                          </a:stretch>
                        </pic:blipFill>
                        <pic:spPr>
                          <a:xfrm flipH="1">
                            <a:off x="0" y="0"/>
                            <a:ext cx="697934" cy="684000"/>
                          </a:xfrm>
                          <a:prstGeom prst="rect">
                            <a:avLst/>
                          </a:prstGeom>
                        </pic:spPr>
                      </pic:pic>
                    </a:graphicData>
                  </a:graphic>
                </wp:inline>
              </w:drawing>
            </w:r>
          </w:p>
          <w:p w14:paraId="1F3AB8F2" w14:textId="77777777" w:rsidR="001A004B" w:rsidRPr="00437BFE" w:rsidRDefault="001A004B" w:rsidP="00164271">
            <w:pPr>
              <w:spacing w:before="0"/>
              <w:rPr>
                <w:b/>
                <w:bCs/>
                <w:color w:val="1F3864" w:themeColor="accent1" w:themeShade="80"/>
              </w:rPr>
            </w:pPr>
            <w:r w:rsidRPr="00437BFE">
              <w:rPr>
                <w:b/>
                <w:bCs/>
                <w:color w:val="1F3864" w:themeColor="accent1" w:themeShade="80"/>
              </w:rPr>
              <w:t xml:space="preserve">Data, Evidence                            </w:t>
            </w:r>
          </w:p>
          <w:p w14:paraId="2AD5D72F" w14:textId="77777777" w:rsidR="001A004B" w:rsidRPr="00437BFE" w:rsidRDefault="001A004B" w:rsidP="00164271">
            <w:pPr>
              <w:spacing w:before="0"/>
              <w:rPr>
                <w:b/>
                <w:bCs/>
                <w:color w:val="1F3864" w:themeColor="accent1" w:themeShade="80"/>
              </w:rPr>
            </w:pPr>
            <w:r w:rsidRPr="00437BFE">
              <w:rPr>
                <w:b/>
                <w:bCs/>
                <w:color w:val="1F3864" w:themeColor="accent1" w:themeShade="80"/>
              </w:rPr>
              <w:t>&amp; Insights</w:t>
            </w:r>
          </w:p>
        </w:tc>
      </w:tr>
      <w:tr w:rsidR="001A004B" w14:paraId="11F9DBFE" w14:textId="77777777" w:rsidTr="00BF4840">
        <w:tc>
          <w:tcPr>
            <w:tcW w:w="2806" w:type="dxa"/>
            <w:shd w:val="clear" w:color="auto" w:fill="auto"/>
          </w:tcPr>
          <w:p w14:paraId="4E083B05" w14:textId="1CC242E1" w:rsidR="001A004B" w:rsidRPr="00347574" w:rsidRDefault="005A037B" w:rsidP="00BF4840">
            <w:pPr>
              <w:spacing w:before="0" w:after="120"/>
              <w:rPr>
                <w:rFonts w:cs="Arial"/>
                <w:sz w:val="20"/>
                <w:szCs w:val="20"/>
              </w:rPr>
            </w:pPr>
            <w:bookmarkStart w:id="0" w:name="_Hlk215731009"/>
            <w:bookmarkStart w:id="1" w:name="_Hlk216274091"/>
            <w:r>
              <w:rPr>
                <w:rFonts w:cs="Arial"/>
                <w:sz w:val="20"/>
                <w:szCs w:val="20"/>
              </w:rPr>
              <w:t xml:space="preserve">Leaders must model respect, accountability, and inclusion through their actions. </w:t>
            </w:r>
          </w:p>
          <w:p w14:paraId="2CCCFDA4" w14:textId="77777777" w:rsidR="001A004B" w:rsidRPr="00347574" w:rsidRDefault="001A004B" w:rsidP="00164271">
            <w:pPr>
              <w:spacing w:after="120"/>
              <w:rPr>
                <w:rFonts w:cs="Arial"/>
                <w:sz w:val="20"/>
                <w:szCs w:val="20"/>
              </w:rPr>
            </w:pPr>
            <w:bookmarkStart w:id="2" w:name="_Hlk215731047"/>
            <w:bookmarkEnd w:id="0"/>
            <w:r w:rsidRPr="00347574">
              <w:rPr>
                <w:rFonts w:cs="Arial"/>
                <w:sz w:val="20"/>
                <w:szCs w:val="20"/>
              </w:rPr>
              <w:t xml:space="preserve">Governance </w:t>
            </w:r>
            <w:r w:rsidRPr="001A004B">
              <w:rPr>
                <w:rFonts w:cs="Arial"/>
                <w:sz w:val="20"/>
                <w:szCs w:val="20"/>
              </w:rPr>
              <w:t>ensures that</w:t>
            </w:r>
            <w:r w:rsidRPr="00347574">
              <w:rPr>
                <w:rFonts w:cs="Arial"/>
                <w:sz w:val="20"/>
                <w:szCs w:val="20"/>
              </w:rPr>
              <w:t xml:space="preserve"> belonging and inclusion are part of </w:t>
            </w:r>
            <w:r w:rsidRPr="001A004B">
              <w:rPr>
                <w:rFonts w:cs="Arial"/>
                <w:sz w:val="20"/>
                <w:szCs w:val="20"/>
              </w:rPr>
              <w:t>the planning, measurement, and delivery of programs and services.</w:t>
            </w:r>
          </w:p>
          <w:bookmarkEnd w:id="1"/>
          <w:bookmarkEnd w:id="2"/>
          <w:p w14:paraId="4F2B59B7" w14:textId="77777777" w:rsidR="001A004B" w:rsidRPr="00437BFE" w:rsidRDefault="001A004B" w:rsidP="00164271">
            <w:pPr>
              <w:rPr>
                <w:rFonts w:cs="Arial"/>
                <w:b/>
                <w:bCs/>
                <w:color w:val="1F3864" w:themeColor="accent1" w:themeShade="80"/>
                <w:sz w:val="20"/>
                <w:szCs w:val="20"/>
              </w:rPr>
            </w:pPr>
            <w:r w:rsidRPr="00437BFE">
              <w:rPr>
                <w:rFonts w:cs="Arial"/>
                <w:b/>
                <w:bCs/>
                <w:color w:val="1F3864" w:themeColor="accent1" w:themeShade="80"/>
                <w:sz w:val="20"/>
                <w:szCs w:val="20"/>
              </w:rPr>
              <w:t>Reflective Questions:</w:t>
            </w:r>
          </w:p>
          <w:p w14:paraId="0BC087E9" w14:textId="77777777" w:rsidR="00BF4840" w:rsidRDefault="00BF4840" w:rsidP="001A004B">
            <w:pPr>
              <w:pStyle w:val="AADotPoint1-Italic"/>
              <w:numPr>
                <w:ilvl w:val="0"/>
                <w:numId w:val="2"/>
              </w:numPr>
              <w:spacing w:after="160"/>
              <w:ind w:left="227" w:hanging="227"/>
              <w:rPr>
                <w:rFonts w:ascii="Arial" w:hAnsi="Arial" w:cs="Arial"/>
                <w:szCs w:val="20"/>
              </w:rPr>
            </w:pPr>
            <w:r w:rsidRPr="001A004B">
              <w:rPr>
                <w:rFonts w:ascii="Arial" w:hAnsi="Arial" w:cs="Arial"/>
                <w:szCs w:val="20"/>
              </w:rPr>
              <w:t>How are EDRI principles being integrated into the planning, delivery, and evaluation of our work?</w:t>
            </w:r>
          </w:p>
          <w:p w14:paraId="02979914" w14:textId="5D51D149" w:rsidR="001A004B" w:rsidRPr="00BF4840" w:rsidRDefault="001A004B" w:rsidP="00BF4840">
            <w:pPr>
              <w:pStyle w:val="AADotPoint1-Italic"/>
              <w:numPr>
                <w:ilvl w:val="0"/>
                <w:numId w:val="2"/>
              </w:numPr>
              <w:spacing w:after="160"/>
              <w:ind w:left="227" w:hanging="227"/>
              <w:rPr>
                <w:rFonts w:ascii="Arial" w:hAnsi="Arial" w:cs="Arial"/>
                <w:szCs w:val="20"/>
              </w:rPr>
            </w:pPr>
            <w:r w:rsidRPr="001A004B">
              <w:rPr>
                <w:rFonts w:ascii="Arial" w:hAnsi="Arial" w:cs="Arial"/>
                <w:szCs w:val="20"/>
              </w:rPr>
              <w:t>How will leaders demonstrate inclusive behaviours and take accountability for belonging and inclusion outcomes</w:t>
            </w:r>
            <w:r w:rsidR="00BF4840">
              <w:rPr>
                <w:rFonts w:ascii="Arial" w:hAnsi="Arial" w:cs="Arial"/>
                <w:szCs w:val="20"/>
              </w:rPr>
              <w:t>?</w:t>
            </w:r>
          </w:p>
        </w:tc>
        <w:tc>
          <w:tcPr>
            <w:tcW w:w="2807" w:type="dxa"/>
            <w:shd w:val="clear" w:color="auto" w:fill="auto"/>
          </w:tcPr>
          <w:p w14:paraId="0CD84C9D" w14:textId="77777777" w:rsidR="001A004B" w:rsidRPr="00347574" w:rsidRDefault="001A004B" w:rsidP="00BF4840">
            <w:pPr>
              <w:spacing w:before="0" w:after="120"/>
              <w:rPr>
                <w:rFonts w:cs="Arial"/>
                <w:sz w:val="20"/>
                <w:szCs w:val="20"/>
              </w:rPr>
            </w:pPr>
            <w:bookmarkStart w:id="3" w:name="_Hlk216274108"/>
            <w:r w:rsidRPr="00347574">
              <w:rPr>
                <w:rFonts w:cs="Arial"/>
                <w:sz w:val="20"/>
                <w:szCs w:val="20"/>
              </w:rPr>
              <w:t>Inclusive language, open communication, and active engagement are essential for belonging and</w:t>
            </w:r>
            <w:r w:rsidRPr="001A004B">
              <w:rPr>
                <w:rFonts w:cs="Arial"/>
                <w:sz w:val="20"/>
                <w:szCs w:val="20"/>
              </w:rPr>
              <w:t xml:space="preserve"> </w:t>
            </w:r>
            <w:r w:rsidRPr="00347574">
              <w:rPr>
                <w:rFonts w:cs="Arial"/>
                <w:sz w:val="20"/>
                <w:szCs w:val="20"/>
              </w:rPr>
              <w:t>inclusion.</w:t>
            </w:r>
          </w:p>
          <w:p w14:paraId="60FFED4A" w14:textId="77777777" w:rsidR="001A004B" w:rsidRPr="00347574" w:rsidRDefault="001A004B" w:rsidP="00164271">
            <w:pPr>
              <w:spacing w:after="120"/>
              <w:rPr>
                <w:rFonts w:cs="Arial"/>
                <w:sz w:val="20"/>
                <w:szCs w:val="20"/>
              </w:rPr>
            </w:pPr>
            <w:r w:rsidRPr="001A004B">
              <w:rPr>
                <w:rFonts w:cs="Arial"/>
                <w:sz w:val="20"/>
                <w:szCs w:val="20"/>
              </w:rPr>
              <w:t>They</w:t>
            </w:r>
            <w:r w:rsidRPr="00347574">
              <w:rPr>
                <w:rFonts w:cs="Arial"/>
                <w:sz w:val="20"/>
                <w:szCs w:val="20"/>
              </w:rPr>
              <w:t xml:space="preserve"> ensure that everyone’s voice is heard and valued. </w:t>
            </w:r>
          </w:p>
          <w:bookmarkEnd w:id="3"/>
          <w:p w14:paraId="553F20F0" w14:textId="77777777" w:rsidR="001A004B" w:rsidRPr="00437BFE" w:rsidRDefault="001A004B" w:rsidP="00164271">
            <w:pPr>
              <w:rPr>
                <w:rFonts w:cs="Arial"/>
                <w:b/>
                <w:bCs/>
                <w:noProof/>
                <w:color w:val="1F3864" w:themeColor="accent1" w:themeShade="80"/>
                <w:sz w:val="20"/>
                <w:szCs w:val="20"/>
              </w:rPr>
            </w:pPr>
            <w:r w:rsidRPr="00437BFE">
              <w:rPr>
                <w:rFonts w:cs="Arial"/>
                <w:b/>
                <w:bCs/>
                <w:noProof/>
                <w:color w:val="1F3864" w:themeColor="accent1" w:themeShade="80"/>
                <w:sz w:val="20"/>
                <w:szCs w:val="20"/>
              </w:rPr>
              <w:t>Reflective Questions:</w:t>
            </w:r>
          </w:p>
          <w:p w14:paraId="71DF8BC6" w14:textId="77777777" w:rsidR="001A004B" w:rsidRPr="001A004B" w:rsidRDefault="001A004B" w:rsidP="001A004B">
            <w:pPr>
              <w:pStyle w:val="AADotPoint1-Italic"/>
              <w:numPr>
                <w:ilvl w:val="0"/>
                <w:numId w:val="2"/>
              </w:numPr>
              <w:spacing w:after="160"/>
              <w:ind w:left="227" w:hanging="227"/>
              <w:rPr>
                <w:rFonts w:ascii="Arial" w:hAnsi="Arial" w:cs="Arial"/>
                <w:szCs w:val="20"/>
              </w:rPr>
            </w:pPr>
            <w:r w:rsidRPr="001A004B">
              <w:rPr>
                <w:rFonts w:ascii="Arial" w:hAnsi="Arial" w:cs="Arial"/>
                <w:szCs w:val="20"/>
              </w:rPr>
              <w:t>How will we ensure that our communication is inclusive, accessible, and respectful of diverse perspectives?</w:t>
            </w:r>
          </w:p>
          <w:p w14:paraId="28021D0C" w14:textId="37BADEAE" w:rsidR="001A004B" w:rsidRPr="001A004B" w:rsidRDefault="001A004B" w:rsidP="001A004B">
            <w:pPr>
              <w:pStyle w:val="AADotPoint1-Italic"/>
              <w:numPr>
                <w:ilvl w:val="0"/>
                <w:numId w:val="2"/>
              </w:numPr>
              <w:spacing w:after="160"/>
              <w:ind w:left="227" w:hanging="227"/>
              <w:rPr>
                <w:rFonts w:ascii="Arial" w:hAnsi="Arial" w:cs="Arial"/>
                <w:b/>
                <w:bCs/>
                <w:noProof/>
                <w:szCs w:val="20"/>
              </w:rPr>
            </w:pPr>
            <w:r w:rsidRPr="001A004B">
              <w:rPr>
                <w:rFonts w:ascii="Arial" w:hAnsi="Arial" w:cs="Arial"/>
                <w:szCs w:val="20"/>
              </w:rPr>
              <w:t>How will we create opportunities for meaningful engagement with all stakeholders in our work?</w:t>
            </w:r>
          </w:p>
          <w:p w14:paraId="74212169" w14:textId="77777777" w:rsidR="001A004B" w:rsidRPr="001A004B" w:rsidRDefault="001A004B" w:rsidP="00164271">
            <w:pPr>
              <w:rPr>
                <w:rFonts w:cs="Arial"/>
                <w:b/>
                <w:bCs/>
                <w:noProof/>
                <w:sz w:val="20"/>
                <w:szCs w:val="20"/>
              </w:rPr>
            </w:pPr>
          </w:p>
        </w:tc>
        <w:tc>
          <w:tcPr>
            <w:tcW w:w="2807" w:type="dxa"/>
            <w:shd w:val="clear" w:color="auto" w:fill="auto"/>
          </w:tcPr>
          <w:p w14:paraId="360BA0FF" w14:textId="77777777" w:rsidR="001A004B" w:rsidRPr="00347574" w:rsidRDefault="001A004B" w:rsidP="00BF4840">
            <w:pPr>
              <w:spacing w:before="0" w:after="120"/>
              <w:rPr>
                <w:rFonts w:cs="Arial"/>
                <w:sz w:val="20"/>
                <w:szCs w:val="20"/>
              </w:rPr>
            </w:pPr>
            <w:r w:rsidRPr="00347574">
              <w:rPr>
                <w:rFonts w:cs="Arial"/>
                <w:sz w:val="20"/>
                <w:szCs w:val="20"/>
              </w:rPr>
              <w:t>Building skills and knowledge in the application of EDRI principles is critical for success.</w:t>
            </w:r>
          </w:p>
          <w:p w14:paraId="772C272E" w14:textId="77777777" w:rsidR="001A004B" w:rsidRPr="00347574" w:rsidRDefault="001A004B" w:rsidP="00164271">
            <w:pPr>
              <w:spacing w:after="120"/>
              <w:rPr>
                <w:rFonts w:cs="Arial"/>
                <w:sz w:val="20"/>
                <w:szCs w:val="20"/>
              </w:rPr>
            </w:pPr>
            <w:r w:rsidRPr="00347574">
              <w:rPr>
                <w:rFonts w:cs="Arial"/>
                <w:sz w:val="20"/>
                <w:szCs w:val="20"/>
              </w:rPr>
              <w:t xml:space="preserve">Training, resources, and development opportunities </w:t>
            </w:r>
            <w:bookmarkStart w:id="4" w:name="_Hlk215731149"/>
            <w:r w:rsidRPr="001A004B">
              <w:rPr>
                <w:rFonts w:cs="Arial"/>
                <w:sz w:val="20"/>
                <w:szCs w:val="20"/>
              </w:rPr>
              <w:t>are key to</w:t>
            </w:r>
            <w:r w:rsidRPr="00347574">
              <w:rPr>
                <w:rFonts w:cs="Arial"/>
                <w:sz w:val="20"/>
                <w:szCs w:val="20"/>
              </w:rPr>
              <w:t xml:space="preserve"> creat</w:t>
            </w:r>
            <w:r w:rsidRPr="001A004B">
              <w:rPr>
                <w:rFonts w:cs="Arial"/>
                <w:sz w:val="20"/>
                <w:szCs w:val="20"/>
              </w:rPr>
              <w:t>ing</w:t>
            </w:r>
            <w:r w:rsidRPr="00347574">
              <w:rPr>
                <w:rFonts w:cs="Arial"/>
                <w:sz w:val="20"/>
                <w:szCs w:val="20"/>
              </w:rPr>
              <w:t xml:space="preserve"> cultural awareness and inclusive practices.</w:t>
            </w:r>
            <w:bookmarkEnd w:id="4"/>
          </w:p>
          <w:p w14:paraId="73E81A07" w14:textId="77777777" w:rsidR="001A004B" w:rsidRPr="00437BFE" w:rsidRDefault="001A004B" w:rsidP="00164271">
            <w:pPr>
              <w:rPr>
                <w:rFonts w:cs="Arial"/>
                <w:b/>
                <w:bCs/>
                <w:color w:val="1F3864" w:themeColor="accent1" w:themeShade="80"/>
                <w:sz w:val="20"/>
                <w:szCs w:val="20"/>
              </w:rPr>
            </w:pPr>
            <w:r w:rsidRPr="00437BFE">
              <w:rPr>
                <w:rFonts w:cs="Arial"/>
                <w:b/>
                <w:bCs/>
                <w:color w:val="1F3864" w:themeColor="accent1" w:themeShade="80"/>
                <w:sz w:val="20"/>
                <w:szCs w:val="20"/>
              </w:rPr>
              <w:t>Reflective Questions:</w:t>
            </w:r>
          </w:p>
          <w:p w14:paraId="3492EE23" w14:textId="03C500C3" w:rsidR="005A037B" w:rsidRDefault="005A037B" w:rsidP="001A004B">
            <w:pPr>
              <w:pStyle w:val="AADotPoint1-Italic"/>
              <w:numPr>
                <w:ilvl w:val="0"/>
                <w:numId w:val="2"/>
              </w:numPr>
              <w:spacing w:after="160"/>
              <w:ind w:left="227" w:hanging="227"/>
              <w:rPr>
                <w:rFonts w:ascii="Arial" w:hAnsi="Arial" w:cs="Arial"/>
                <w:szCs w:val="20"/>
              </w:rPr>
            </w:pPr>
            <w:r w:rsidRPr="001A004B">
              <w:rPr>
                <w:rFonts w:ascii="Arial" w:hAnsi="Arial" w:cs="Arial"/>
                <w:szCs w:val="20"/>
              </w:rPr>
              <w:t>What </w:t>
            </w:r>
            <w:r>
              <w:rPr>
                <w:rFonts w:ascii="Arial" w:hAnsi="Arial" w:cs="Arial"/>
                <w:szCs w:val="20"/>
              </w:rPr>
              <w:t>will we do to ensure</w:t>
            </w:r>
            <w:r w:rsidRPr="001A004B">
              <w:rPr>
                <w:rFonts w:ascii="Arial" w:hAnsi="Arial" w:cs="Arial"/>
                <w:szCs w:val="20"/>
              </w:rPr>
              <w:t xml:space="preserve"> people understand and </w:t>
            </w:r>
            <w:r>
              <w:rPr>
                <w:rFonts w:ascii="Arial" w:hAnsi="Arial" w:cs="Arial"/>
                <w:szCs w:val="20"/>
              </w:rPr>
              <w:t xml:space="preserve">can </w:t>
            </w:r>
            <w:r w:rsidRPr="001A004B">
              <w:rPr>
                <w:rFonts w:ascii="Arial" w:hAnsi="Arial" w:cs="Arial"/>
                <w:szCs w:val="20"/>
              </w:rPr>
              <w:t>apply EDRI principles?</w:t>
            </w:r>
          </w:p>
          <w:p w14:paraId="438664A8" w14:textId="498C86A9" w:rsidR="001A004B" w:rsidRPr="005A037B" w:rsidRDefault="005A037B" w:rsidP="005A037B">
            <w:pPr>
              <w:pStyle w:val="AADotPoint1-Italic"/>
              <w:numPr>
                <w:ilvl w:val="0"/>
                <w:numId w:val="2"/>
              </w:numPr>
              <w:spacing w:after="160"/>
              <w:ind w:left="227" w:hanging="227"/>
              <w:rPr>
                <w:rFonts w:ascii="Arial" w:hAnsi="Arial" w:cs="Arial"/>
                <w:szCs w:val="20"/>
              </w:rPr>
            </w:pPr>
            <w:r w:rsidRPr="001A004B">
              <w:rPr>
                <w:rFonts w:ascii="Arial" w:hAnsi="Arial" w:cs="Arial"/>
                <w:szCs w:val="20"/>
              </w:rPr>
              <w:t>How</w:t>
            </w:r>
            <w:r w:rsidRPr="001A004B">
              <w:rPr>
                <w:rFonts w:ascii="Arial" w:hAnsi="Arial" w:cs="Arial"/>
                <w:i w:val="0"/>
                <w:color w:val="414141"/>
                <w:szCs w:val="20"/>
                <w:shd w:val="clear" w:color="auto" w:fill="F5F5F5"/>
              </w:rPr>
              <w:t xml:space="preserve"> </w:t>
            </w:r>
            <w:r w:rsidRPr="001A004B">
              <w:rPr>
                <w:rFonts w:ascii="Arial" w:hAnsi="Arial" w:cs="Arial"/>
                <w:szCs w:val="20"/>
              </w:rPr>
              <w:t>are we supporting our people to develop the skills needed to identify and address EDRI challenges and opportunities?</w:t>
            </w:r>
          </w:p>
        </w:tc>
        <w:tc>
          <w:tcPr>
            <w:tcW w:w="2807" w:type="dxa"/>
            <w:shd w:val="clear" w:color="auto" w:fill="auto"/>
          </w:tcPr>
          <w:p w14:paraId="15D05A33" w14:textId="77777777" w:rsidR="001A004B" w:rsidRPr="00347574" w:rsidRDefault="001A004B" w:rsidP="00BF4840">
            <w:pPr>
              <w:spacing w:before="0" w:after="120"/>
              <w:rPr>
                <w:rFonts w:cs="Arial"/>
                <w:sz w:val="20"/>
                <w:szCs w:val="20"/>
              </w:rPr>
            </w:pPr>
            <w:bookmarkStart w:id="5" w:name="_Hlk216274157"/>
            <w:r w:rsidRPr="00347574">
              <w:rPr>
                <w:rFonts w:cs="Arial"/>
                <w:sz w:val="20"/>
                <w:szCs w:val="20"/>
              </w:rPr>
              <w:t xml:space="preserve">Fair, accessible, and inclusive systems, processes, and policies are the foundation of belonging and inclusion. </w:t>
            </w:r>
          </w:p>
          <w:p w14:paraId="75210FD8" w14:textId="48BE438E" w:rsidR="001A004B" w:rsidRPr="00347574" w:rsidRDefault="001A004B" w:rsidP="00164271">
            <w:pPr>
              <w:spacing w:after="120"/>
              <w:rPr>
                <w:rFonts w:cs="Arial"/>
                <w:sz w:val="20"/>
                <w:szCs w:val="20"/>
              </w:rPr>
            </w:pPr>
            <w:r w:rsidRPr="00347574">
              <w:rPr>
                <w:rFonts w:cs="Arial"/>
                <w:sz w:val="20"/>
                <w:szCs w:val="20"/>
              </w:rPr>
              <w:t xml:space="preserve">Removing </w:t>
            </w:r>
            <w:bookmarkStart w:id="6" w:name="_Hlk215731279"/>
            <w:r w:rsidRPr="00347574">
              <w:rPr>
                <w:rFonts w:cs="Arial"/>
                <w:sz w:val="20"/>
                <w:szCs w:val="20"/>
              </w:rPr>
              <w:t xml:space="preserve">barriers ensures </w:t>
            </w:r>
            <w:r w:rsidRPr="001A004B">
              <w:rPr>
                <w:rFonts w:cs="Arial"/>
                <w:sz w:val="20"/>
                <w:szCs w:val="20"/>
              </w:rPr>
              <w:t xml:space="preserve">that everyone </w:t>
            </w:r>
            <w:bookmarkStart w:id="7" w:name="_Hlk215731181"/>
            <w:r w:rsidRPr="001A004B">
              <w:rPr>
                <w:rFonts w:cs="Arial"/>
                <w:sz w:val="20"/>
                <w:szCs w:val="20"/>
              </w:rPr>
              <w:t xml:space="preserve">has </w:t>
            </w:r>
            <w:bookmarkEnd w:id="7"/>
            <w:r w:rsidR="009B7252">
              <w:rPr>
                <w:rFonts w:cs="Arial"/>
                <w:sz w:val="20"/>
                <w:szCs w:val="20"/>
              </w:rPr>
              <w:t xml:space="preserve">fair access and is treated equitably. </w:t>
            </w:r>
            <w:bookmarkEnd w:id="6"/>
          </w:p>
          <w:bookmarkEnd w:id="5"/>
          <w:p w14:paraId="1069CFF3" w14:textId="77777777" w:rsidR="001A004B" w:rsidRPr="00437BFE" w:rsidRDefault="001A004B" w:rsidP="00164271">
            <w:pPr>
              <w:rPr>
                <w:rFonts w:cs="Arial"/>
                <w:b/>
                <w:bCs/>
                <w:noProof/>
                <w:color w:val="1F3864" w:themeColor="accent1" w:themeShade="80"/>
                <w:sz w:val="20"/>
                <w:szCs w:val="20"/>
              </w:rPr>
            </w:pPr>
            <w:r w:rsidRPr="00437BFE">
              <w:rPr>
                <w:rFonts w:cs="Arial"/>
                <w:b/>
                <w:bCs/>
                <w:noProof/>
                <w:color w:val="1F3864" w:themeColor="accent1" w:themeShade="80"/>
                <w:sz w:val="20"/>
                <w:szCs w:val="20"/>
              </w:rPr>
              <w:t xml:space="preserve">Reflective Questions: </w:t>
            </w:r>
          </w:p>
          <w:p w14:paraId="465B6821" w14:textId="77777777" w:rsidR="001A004B" w:rsidRPr="001A004B" w:rsidRDefault="001A004B" w:rsidP="001A004B">
            <w:pPr>
              <w:pStyle w:val="AADotPoint1-Italic"/>
              <w:numPr>
                <w:ilvl w:val="0"/>
                <w:numId w:val="2"/>
              </w:numPr>
              <w:spacing w:after="160"/>
              <w:ind w:left="227" w:hanging="227"/>
              <w:rPr>
                <w:rFonts w:ascii="Arial" w:hAnsi="Arial" w:cs="Arial"/>
                <w:szCs w:val="20"/>
              </w:rPr>
            </w:pPr>
            <w:r w:rsidRPr="001A004B">
              <w:rPr>
                <w:rFonts w:ascii="Arial" w:hAnsi="Arial" w:cs="Arial"/>
                <w:szCs w:val="20"/>
              </w:rPr>
              <w:t>How will we ensure our systems, processes, and policies are fair, accessible, and inclusive?</w:t>
            </w:r>
          </w:p>
          <w:p w14:paraId="3BB6A570" w14:textId="77777777" w:rsidR="001A004B" w:rsidRPr="001A004B" w:rsidRDefault="001A004B" w:rsidP="001A004B">
            <w:pPr>
              <w:pStyle w:val="AADotPoint1-Italic"/>
              <w:numPr>
                <w:ilvl w:val="0"/>
                <w:numId w:val="2"/>
              </w:numPr>
              <w:spacing w:after="160"/>
              <w:ind w:left="227" w:hanging="227"/>
              <w:rPr>
                <w:rFonts w:ascii="Arial" w:hAnsi="Arial" w:cs="Arial"/>
                <w:b/>
                <w:bCs/>
                <w:noProof/>
                <w:szCs w:val="20"/>
              </w:rPr>
            </w:pPr>
            <w:r w:rsidRPr="001A004B">
              <w:rPr>
                <w:rFonts w:ascii="Arial" w:hAnsi="Arial" w:cs="Arial"/>
                <w:szCs w:val="20"/>
              </w:rPr>
              <w:t>How will we identify and address barriers to access and inclusion?</w:t>
            </w:r>
          </w:p>
        </w:tc>
        <w:tc>
          <w:tcPr>
            <w:tcW w:w="2807" w:type="dxa"/>
            <w:shd w:val="clear" w:color="auto" w:fill="auto"/>
          </w:tcPr>
          <w:p w14:paraId="68F57F4B" w14:textId="77777777" w:rsidR="001A004B" w:rsidRPr="00CA1992" w:rsidRDefault="001A004B" w:rsidP="00BF4840">
            <w:pPr>
              <w:spacing w:before="0" w:after="120"/>
              <w:rPr>
                <w:rFonts w:cs="Arial"/>
                <w:sz w:val="20"/>
                <w:szCs w:val="20"/>
              </w:rPr>
            </w:pPr>
            <w:r w:rsidRPr="00CA1992">
              <w:rPr>
                <w:rFonts w:cs="Arial"/>
                <w:sz w:val="20"/>
                <w:szCs w:val="20"/>
              </w:rPr>
              <w:t xml:space="preserve">Data, feedback, and lived experiences help identify opportunities, evaluate progress, and improve outcomes. </w:t>
            </w:r>
          </w:p>
          <w:p w14:paraId="2D2156A2" w14:textId="77777777" w:rsidR="001A004B" w:rsidRPr="00CA1992" w:rsidRDefault="001A004B" w:rsidP="00164271">
            <w:pPr>
              <w:spacing w:after="120"/>
              <w:rPr>
                <w:rFonts w:cs="Arial"/>
                <w:sz w:val="20"/>
                <w:szCs w:val="20"/>
              </w:rPr>
            </w:pPr>
            <w:r w:rsidRPr="001A004B">
              <w:rPr>
                <w:rFonts w:cs="Arial"/>
                <w:sz w:val="20"/>
                <w:szCs w:val="20"/>
              </w:rPr>
              <w:t xml:space="preserve">These </w:t>
            </w:r>
            <w:bookmarkStart w:id="8" w:name="_Hlk215731309"/>
            <w:r w:rsidRPr="001A004B">
              <w:rPr>
                <w:rFonts w:cs="Arial"/>
                <w:sz w:val="20"/>
                <w:szCs w:val="20"/>
              </w:rPr>
              <w:t>insights</w:t>
            </w:r>
            <w:r w:rsidRPr="00CA1992">
              <w:rPr>
                <w:rFonts w:cs="Arial"/>
                <w:sz w:val="20"/>
                <w:szCs w:val="20"/>
              </w:rPr>
              <w:t xml:space="preserve"> ensure programs and services align with our belonging and inclusion goals.</w:t>
            </w:r>
            <w:bookmarkEnd w:id="8"/>
          </w:p>
          <w:p w14:paraId="73055E63" w14:textId="77777777" w:rsidR="001A004B" w:rsidRPr="00437BFE" w:rsidRDefault="001A004B" w:rsidP="00164271">
            <w:pPr>
              <w:rPr>
                <w:rFonts w:cs="Arial"/>
                <w:b/>
                <w:bCs/>
                <w:noProof/>
                <w:color w:val="1F3864" w:themeColor="accent1" w:themeShade="80"/>
                <w:sz w:val="20"/>
                <w:szCs w:val="20"/>
              </w:rPr>
            </w:pPr>
            <w:r w:rsidRPr="00437BFE">
              <w:rPr>
                <w:rFonts w:cs="Arial"/>
                <w:b/>
                <w:bCs/>
                <w:noProof/>
                <w:color w:val="1F3864" w:themeColor="accent1" w:themeShade="80"/>
                <w:sz w:val="20"/>
                <w:szCs w:val="20"/>
              </w:rPr>
              <w:t xml:space="preserve">Reflective Questions: </w:t>
            </w:r>
          </w:p>
          <w:p w14:paraId="3002FE7E" w14:textId="77777777" w:rsidR="001A004B" w:rsidRPr="001A004B" w:rsidRDefault="001A004B" w:rsidP="001A004B">
            <w:pPr>
              <w:pStyle w:val="AADotPoint1-Italic"/>
              <w:numPr>
                <w:ilvl w:val="0"/>
                <w:numId w:val="2"/>
              </w:numPr>
              <w:spacing w:after="160"/>
              <w:ind w:left="227" w:hanging="227"/>
              <w:rPr>
                <w:rFonts w:ascii="Arial" w:hAnsi="Arial" w:cs="Arial"/>
                <w:szCs w:val="20"/>
              </w:rPr>
            </w:pPr>
            <w:r w:rsidRPr="001A004B">
              <w:rPr>
                <w:rFonts w:ascii="Arial" w:hAnsi="Arial" w:cs="Arial"/>
                <w:szCs w:val="20"/>
              </w:rPr>
              <w:t>What data will we use to monitor the impact of our work and identify areas for improvement?</w:t>
            </w:r>
          </w:p>
          <w:p w14:paraId="7DE9EB6E" w14:textId="77777777" w:rsidR="001A004B" w:rsidRPr="001A004B" w:rsidRDefault="001A004B" w:rsidP="001A004B">
            <w:pPr>
              <w:pStyle w:val="AADotPoint1-Italic"/>
              <w:numPr>
                <w:ilvl w:val="0"/>
                <w:numId w:val="2"/>
              </w:numPr>
              <w:spacing w:after="160"/>
              <w:ind w:left="227" w:hanging="227"/>
              <w:rPr>
                <w:rFonts w:ascii="Arial" w:hAnsi="Arial" w:cs="Arial"/>
                <w:b/>
                <w:bCs/>
                <w:noProof/>
                <w:szCs w:val="20"/>
              </w:rPr>
            </w:pPr>
            <w:r w:rsidRPr="001A004B">
              <w:rPr>
                <w:rFonts w:ascii="Arial" w:hAnsi="Arial" w:cs="Arial"/>
                <w:szCs w:val="20"/>
              </w:rPr>
              <w:t>Are we incorporating diverse perspectives and lived experiences into the design, delivery, and evaluation of our work?</w:t>
            </w:r>
          </w:p>
        </w:tc>
      </w:tr>
    </w:tbl>
    <w:p w14:paraId="0E247D05" w14:textId="52E6F26E" w:rsidR="001A004B" w:rsidRDefault="001A004B" w:rsidP="001A004B">
      <w:pPr>
        <w:pStyle w:val="Heading1"/>
      </w:pPr>
      <w:r>
        <w:lastRenderedPageBreak/>
        <w:t>Key Activities for 2026-2027</w:t>
      </w:r>
    </w:p>
    <w:tbl>
      <w:tblPr>
        <w:tblStyle w:val="TableGrid"/>
        <w:tblW w:w="0" w:type="auto"/>
        <w:tblLook w:val="04A0" w:firstRow="1" w:lastRow="0" w:firstColumn="1" w:lastColumn="0" w:noHBand="0" w:noVBand="1"/>
      </w:tblPr>
      <w:tblGrid>
        <w:gridCol w:w="700"/>
        <w:gridCol w:w="5816"/>
        <w:gridCol w:w="3685"/>
        <w:gridCol w:w="1418"/>
        <w:gridCol w:w="1417"/>
        <w:gridCol w:w="1560"/>
      </w:tblGrid>
      <w:tr w:rsidR="002E4E99" w14:paraId="7B014319" w14:textId="77777777" w:rsidTr="00126650">
        <w:trPr>
          <w:cantSplit/>
          <w:tblHeader/>
        </w:trPr>
        <w:tc>
          <w:tcPr>
            <w:tcW w:w="14596" w:type="dxa"/>
            <w:gridSpan w:val="6"/>
            <w:shd w:val="clear" w:color="auto" w:fill="D9E2F3" w:themeFill="accent1" w:themeFillTint="33"/>
          </w:tcPr>
          <w:p w14:paraId="54455C1D" w14:textId="77777777" w:rsidR="002E4E99" w:rsidRPr="00C86FC3" w:rsidRDefault="002E4E99" w:rsidP="00164271">
            <w:pPr>
              <w:pStyle w:val="Table"/>
              <w:rPr>
                <w:b/>
                <w:bCs/>
              </w:rPr>
            </w:pPr>
            <w:r w:rsidRPr="00C86FC3">
              <w:rPr>
                <w:b/>
                <w:bCs/>
              </w:rPr>
              <w:t>Performance Measures</w:t>
            </w:r>
          </w:p>
          <w:p w14:paraId="53CB5D63" w14:textId="77777777" w:rsidR="002E4E99" w:rsidRDefault="002E4E99" w:rsidP="002E4E99">
            <w:pPr>
              <w:pStyle w:val="Table"/>
              <w:tabs>
                <w:tab w:val="left" w:pos="6621"/>
              </w:tabs>
            </w:pPr>
            <w:r>
              <w:sym w:font="Wingdings" w:char="F09F"/>
            </w:r>
            <w:r>
              <w:t xml:space="preserve">     Employee engagement</w:t>
            </w:r>
            <w:r>
              <w:tab/>
            </w:r>
            <w:r>
              <w:sym w:font="Wingdings" w:char="F09F"/>
            </w:r>
            <w:r>
              <w:t xml:space="preserve">     Volunteer engagement</w:t>
            </w:r>
          </w:p>
          <w:p w14:paraId="14BB92F3" w14:textId="10D7B608" w:rsidR="002E4E99" w:rsidRPr="002E4E99" w:rsidRDefault="002E4E99" w:rsidP="002E4E99">
            <w:pPr>
              <w:pStyle w:val="Table"/>
              <w:tabs>
                <w:tab w:val="left" w:pos="6621"/>
              </w:tabs>
            </w:pPr>
            <w:r>
              <w:sym w:font="Wingdings" w:char="F09F"/>
            </w:r>
            <w:r>
              <w:t xml:space="preserve">     Delivery of outcomes and initiatives </w:t>
            </w:r>
            <w:r>
              <w:tab/>
            </w:r>
            <w:r>
              <w:sym w:font="Wingdings" w:char="F09F"/>
            </w:r>
            <w:r>
              <w:t xml:space="preserve">     Workforce data and analytics </w:t>
            </w:r>
          </w:p>
        </w:tc>
      </w:tr>
      <w:tr w:rsidR="0095320D" w14:paraId="1ACCE1BE" w14:textId="77777777" w:rsidTr="005E0220">
        <w:trPr>
          <w:cantSplit/>
          <w:tblHeader/>
        </w:trPr>
        <w:tc>
          <w:tcPr>
            <w:tcW w:w="700" w:type="dxa"/>
            <w:tcBorders>
              <w:bottom w:val="single" w:sz="4" w:space="0" w:color="auto"/>
            </w:tcBorders>
            <w:shd w:val="clear" w:color="auto" w:fill="1F3864" w:themeFill="accent1" w:themeFillShade="80"/>
            <w:vAlign w:val="center"/>
          </w:tcPr>
          <w:p w14:paraId="5AE1131A" w14:textId="67C843B5" w:rsidR="001A004B" w:rsidRPr="00C86FC3" w:rsidRDefault="001A004B" w:rsidP="00C86FC3">
            <w:pPr>
              <w:pStyle w:val="Table"/>
              <w:rPr>
                <w:b/>
                <w:bCs/>
                <w:color w:val="FFFFFF" w:themeColor="background1"/>
              </w:rPr>
            </w:pPr>
            <w:r w:rsidRPr="00C86FC3">
              <w:rPr>
                <w:b/>
                <w:bCs/>
                <w:color w:val="FFFFFF" w:themeColor="background1"/>
              </w:rPr>
              <w:t>No.</w:t>
            </w:r>
          </w:p>
        </w:tc>
        <w:tc>
          <w:tcPr>
            <w:tcW w:w="5816" w:type="dxa"/>
            <w:tcBorders>
              <w:bottom w:val="single" w:sz="4" w:space="0" w:color="auto"/>
            </w:tcBorders>
            <w:shd w:val="clear" w:color="auto" w:fill="1F3864" w:themeFill="accent1" w:themeFillShade="80"/>
            <w:vAlign w:val="center"/>
          </w:tcPr>
          <w:p w14:paraId="07A6BE31" w14:textId="583A539E" w:rsidR="001A004B" w:rsidRPr="00C86FC3" w:rsidRDefault="001A004B" w:rsidP="00C86FC3">
            <w:pPr>
              <w:pStyle w:val="Table"/>
              <w:rPr>
                <w:b/>
                <w:bCs/>
                <w:color w:val="FFFFFF" w:themeColor="background1"/>
              </w:rPr>
            </w:pPr>
            <w:r w:rsidRPr="00C86FC3">
              <w:rPr>
                <w:b/>
                <w:bCs/>
                <w:color w:val="FFFFFF" w:themeColor="background1"/>
              </w:rPr>
              <w:t>Key Activities</w:t>
            </w:r>
          </w:p>
        </w:tc>
        <w:tc>
          <w:tcPr>
            <w:tcW w:w="3685" w:type="dxa"/>
            <w:tcBorders>
              <w:bottom w:val="single" w:sz="4" w:space="0" w:color="auto"/>
            </w:tcBorders>
            <w:shd w:val="clear" w:color="auto" w:fill="1F3864" w:themeFill="accent1" w:themeFillShade="80"/>
            <w:vAlign w:val="center"/>
          </w:tcPr>
          <w:p w14:paraId="22DB06F0" w14:textId="0A87947B" w:rsidR="001A004B" w:rsidRPr="00C86FC3" w:rsidRDefault="001A004B" w:rsidP="00C86FC3">
            <w:pPr>
              <w:pStyle w:val="Table"/>
              <w:rPr>
                <w:b/>
                <w:bCs/>
                <w:color w:val="FFFFFF" w:themeColor="background1"/>
              </w:rPr>
            </w:pPr>
            <w:r w:rsidRPr="00C86FC3">
              <w:rPr>
                <w:b/>
                <w:bCs/>
                <w:color w:val="FFFFFF" w:themeColor="background1"/>
              </w:rPr>
              <w:t>Responsible Officer</w:t>
            </w:r>
          </w:p>
        </w:tc>
        <w:tc>
          <w:tcPr>
            <w:tcW w:w="1418" w:type="dxa"/>
            <w:tcBorders>
              <w:bottom w:val="single" w:sz="4" w:space="0" w:color="auto"/>
            </w:tcBorders>
            <w:shd w:val="clear" w:color="auto" w:fill="1F3864" w:themeFill="accent1" w:themeFillShade="80"/>
            <w:vAlign w:val="center"/>
          </w:tcPr>
          <w:p w14:paraId="47A5F450" w14:textId="1843D30A" w:rsidR="001A004B" w:rsidRPr="00C86FC3" w:rsidRDefault="001A004B" w:rsidP="00C86FC3">
            <w:pPr>
              <w:pStyle w:val="Table"/>
              <w:rPr>
                <w:b/>
                <w:bCs/>
                <w:color w:val="FFFFFF" w:themeColor="background1"/>
              </w:rPr>
            </w:pPr>
            <w:r w:rsidRPr="00C86FC3">
              <w:rPr>
                <w:b/>
                <w:bCs/>
                <w:color w:val="FFFFFF" w:themeColor="background1"/>
              </w:rPr>
              <w:t>Completion Date</w:t>
            </w:r>
          </w:p>
        </w:tc>
        <w:tc>
          <w:tcPr>
            <w:tcW w:w="1417" w:type="dxa"/>
            <w:tcBorders>
              <w:bottom w:val="single" w:sz="4" w:space="0" w:color="auto"/>
            </w:tcBorders>
            <w:shd w:val="clear" w:color="auto" w:fill="1F3864" w:themeFill="accent1" w:themeFillShade="80"/>
            <w:vAlign w:val="center"/>
          </w:tcPr>
          <w:p w14:paraId="449A73B5" w14:textId="6BABA477" w:rsidR="001A004B" w:rsidRPr="0095320D" w:rsidRDefault="001A004B" w:rsidP="00C86FC3">
            <w:pPr>
              <w:pStyle w:val="Table"/>
              <w:rPr>
                <w:b/>
                <w:bCs/>
                <w:color w:val="FFFFFF" w:themeColor="background1"/>
                <w:vertAlign w:val="superscript"/>
              </w:rPr>
            </w:pPr>
            <w:r w:rsidRPr="00C86FC3">
              <w:rPr>
                <w:b/>
                <w:bCs/>
                <w:color w:val="FFFFFF" w:themeColor="background1"/>
              </w:rPr>
              <w:t>Strategy Alignment</w:t>
            </w:r>
            <w:r w:rsidR="0095320D">
              <w:rPr>
                <w:b/>
                <w:bCs/>
                <w:color w:val="FFFFFF" w:themeColor="background1"/>
              </w:rPr>
              <w:t xml:space="preserve"> </w:t>
            </w:r>
            <w:r w:rsidR="0095320D">
              <w:rPr>
                <w:b/>
                <w:bCs/>
                <w:color w:val="FFFFFF" w:themeColor="background1"/>
                <w:vertAlign w:val="superscript"/>
              </w:rPr>
              <w:t>(a)</w:t>
            </w:r>
          </w:p>
        </w:tc>
        <w:tc>
          <w:tcPr>
            <w:tcW w:w="1560" w:type="dxa"/>
            <w:tcBorders>
              <w:bottom w:val="single" w:sz="4" w:space="0" w:color="auto"/>
            </w:tcBorders>
            <w:shd w:val="clear" w:color="auto" w:fill="1F3864" w:themeFill="accent1" w:themeFillShade="80"/>
            <w:vAlign w:val="center"/>
          </w:tcPr>
          <w:p w14:paraId="7455CE01" w14:textId="7B52F4C4" w:rsidR="001A004B" w:rsidRPr="0095320D" w:rsidRDefault="001A004B" w:rsidP="00C86FC3">
            <w:pPr>
              <w:pStyle w:val="Table"/>
              <w:rPr>
                <w:b/>
                <w:bCs/>
                <w:color w:val="FFFFFF" w:themeColor="background1"/>
                <w:vertAlign w:val="superscript"/>
              </w:rPr>
            </w:pPr>
            <w:r w:rsidRPr="00C86FC3">
              <w:rPr>
                <w:b/>
                <w:bCs/>
                <w:color w:val="FFFFFF" w:themeColor="background1"/>
              </w:rPr>
              <w:t>Domain Alignment</w:t>
            </w:r>
            <w:r w:rsidR="0095320D">
              <w:rPr>
                <w:b/>
                <w:bCs/>
                <w:color w:val="FFFFFF" w:themeColor="background1"/>
              </w:rPr>
              <w:t xml:space="preserve"> </w:t>
            </w:r>
            <w:r w:rsidR="0095320D">
              <w:rPr>
                <w:b/>
                <w:bCs/>
                <w:color w:val="FFFFFF" w:themeColor="background1"/>
                <w:vertAlign w:val="superscript"/>
              </w:rPr>
              <w:t>(b)</w:t>
            </w:r>
          </w:p>
        </w:tc>
      </w:tr>
      <w:tr w:rsidR="00BF4840" w:rsidRPr="00BF4840" w14:paraId="04ADEEF2" w14:textId="77777777" w:rsidTr="005E0220">
        <w:trPr>
          <w:cantSplit/>
        </w:trPr>
        <w:tc>
          <w:tcPr>
            <w:tcW w:w="14596" w:type="dxa"/>
            <w:gridSpan w:val="6"/>
            <w:tcBorders>
              <w:bottom w:val="nil"/>
            </w:tcBorders>
            <w:shd w:val="clear" w:color="auto" w:fill="2F5496" w:themeFill="accent1" w:themeFillShade="BF"/>
          </w:tcPr>
          <w:p w14:paraId="1BFAEEF5" w14:textId="27FAEBFC" w:rsidR="000D23FA" w:rsidRPr="00BF4840" w:rsidRDefault="000D23FA" w:rsidP="00C86FC3">
            <w:pPr>
              <w:pStyle w:val="Table"/>
              <w:rPr>
                <w:b/>
                <w:bCs/>
                <w:color w:val="FFFFFF" w:themeColor="background1"/>
              </w:rPr>
            </w:pPr>
            <w:r w:rsidRPr="00BF4840">
              <w:rPr>
                <w:b/>
                <w:bCs/>
                <w:color w:val="FFFFFF" w:themeColor="background1"/>
              </w:rPr>
              <w:t xml:space="preserve">Strength in Diversity </w:t>
            </w:r>
          </w:p>
        </w:tc>
      </w:tr>
      <w:tr w:rsidR="000D23FA" w14:paraId="535A91FC" w14:textId="77777777" w:rsidTr="005E0220">
        <w:trPr>
          <w:cantSplit/>
        </w:trPr>
        <w:tc>
          <w:tcPr>
            <w:tcW w:w="700" w:type="dxa"/>
            <w:tcBorders>
              <w:top w:val="nil"/>
            </w:tcBorders>
          </w:tcPr>
          <w:p w14:paraId="40FD06B9" w14:textId="1896C828" w:rsidR="001A004B" w:rsidRPr="00BF4840" w:rsidRDefault="001A004B" w:rsidP="000D23FA">
            <w:pPr>
              <w:pStyle w:val="ActivityNo"/>
              <w:rPr>
                <w:sz w:val="19"/>
                <w:szCs w:val="19"/>
              </w:rPr>
            </w:pPr>
          </w:p>
        </w:tc>
        <w:tc>
          <w:tcPr>
            <w:tcW w:w="5816" w:type="dxa"/>
            <w:tcBorders>
              <w:top w:val="nil"/>
            </w:tcBorders>
          </w:tcPr>
          <w:p w14:paraId="45F7B2BC" w14:textId="4EBDEFDE" w:rsidR="001A004B" w:rsidRPr="00BF4840" w:rsidRDefault="000D23FA" w:rsidP="00C86FC3">
            <w:pPr>
              <w:pStyle w:val="Table"/>
              <w:rPr>
                <w:sz w:val="19"/>
                <w:szCs w:val="19"/>
              </w:rPr>
            </w:pPr>
            <w:r w:rsidRPr="00BF4840">
              <w:rPr>
                <w:sz w:val="19"/>
                <w:szCs w:val="19"/>
              </w:rPr>
              <w:t xml:space="preserve">Use </w:t>
            </w:r>
            <w:r w:rsidRPr="00BF4840">
              <w:rPr>
                <w:rFonts w:eastAsia="Times New Roman" w:cstheme="majorHAnsi"/>
                <w:color w:val="000000"/>
                <w:kern w:val="0"/>
                <w:sz w:val="19"/>
                <w:szCs w:val="19"/>
                <w14:ligatures w14:val="none"/>
              </w:rPr>
              <w:t>inclusive language and diverse imagery in attraction activities and recruitment campaigns, to strengthen employer branding and position the QPS as a champion of equity, diversity, respect, and inclusion, and a workplace that attracts and retains talent from all backgrounds</w:t>
            </w:r>
            <w:r w:rsidR="00A01BE4" w:rsidRPr="00BF4840">
              <w:rPr>
                <w:rFonts w:eastAsia="Times New Roman" w:cstheme="majorHAnsi"/>
                <w:color w:val="000000"/>
                <w:kern w:val="0"/>
                <w:sz w:val="19"/>
                <w:szCs w:val="19"/>
                <w14:ligatures w14:val="none"/>
              </w:rPr>
              <w:t>.</w:t>
            </w:r>
          </w:p>
        </w:tc>
        <w:tc>
          <w:tcPr>
            <w:tcW w:w="3685" w:type="dxa"/>
            <w:tcBorders>
              <w:top w:val="nil"/>
            </w:tcBorders>
          </w:tcPr>
          <w:p w14:paraId="42F05138" w14:textId="2AC4BAA2" w:rsidR="001A004B" w:rsidRPr="00BF4840" w:rsidRDefault="000D23FA" w:rsidP="00C86FC3">
            <w:pPr>
              <w:pStyle w:val="Table"/>
              <w:rPr>
                <w:sz w:val="19"/>
                <w:szCs w:val="19"/>
              </w:rPr>
            </w:pPr>
            <w:r w:rsidRPr="00BF4840">
              <w:rPr>
                <w:sz w:val="19"/>
                <w:szCs w:val="19"/>
              </w:rPr>
              <w:t xml:space="preserve">ED </w:t>
            </w:r>
            <w:r w:rsidR="00293477">
              <w:rPr>
                <w:sz w:val="19"/>
                <w:szCs w:val="19"/>
              </w:rPr>
              <w:t xml:space="preserve">Media &amp; </w:t>
            </w:r>
            <w:r w:rsidRPr="00BF4840">
              <w:rPr>
                <w:sz w:val="19"/>
                <w:szCs w:val="19"/>
              </w:rPr>
              <w:t xml:space="preserve">Communications </w:t>
            </w:r>
            <w:r w:rsidR="0002331E" w:rsidRPr="00BF4840">
              <w:rPr>
                <w:sz w:val="19"/>
                <w:szCs w:val="19"/>
              </w:rPr>
              <w:t>Division</w:t>
            </w:r>
          </w:p>
          <w:p w14:paraId="6479D258" w14:textId="440E571D" w:rsidR="000D23FA" w:rsidRPr="00BF4840" w:rsidRDefault="000D23FA" w:rsidP="00C86FC3">
            <w:pPr>
              <w:pStyle w:val="Table"/>
              <w:rPr>
                <w:sz w:val="19"/>
                <w:szCs w:val="19"/>
              </w:rPr>
            </w:pPr>
            <w:r w:rsidRPr="00BF4840">
              <w:rPr>
                <w:sz w:val="19"/>
                <w:szCs w:val="19"/>
              </w:rPr>
              <w:t xml:space="preserve">AC Recruiting &amp; Development Command </w:t>
            </w:r>
          </w:p>
          <w:p w14:paraId="77D6FF88" w14:textId="58389BD6" w:rsidR="000D23FA" w:rsidRPr="00BF4840" w:rsidRDefault="000D23FA" w:rsidP="00C86FC3">
            <w:pPr>
              <w:pStyle w:val="Table"/>
              <w:rPr>
                <w:sz w:val="19"/>
                <w:szCs w:val="19"/>
              </w:rPr>
            </w:pPr>
            <w:r w:rsidRPr="00BF4840">
              <w:rPr>
                <w:sz w:val="19"/>
                <w:szCs w:val="19"/>
              </w:rPr>
              <w:t xml:space="preserve">ED </w:t>
            </w:r>
            <w:r w:rsidR="00293477">
              <w:rPr>
                <w:sz w:val="19"/>
                <w:szCs w:val="19"/>
              </w:rPr>
              <w:t>Workforce Management &amp; Wellbeing</w:t>
            </w:r>
            <w:r w:rsidRPr="00BF4840">
              <w:rPr>
                <w:sz w:val="19"/>
                <w:szCs w:val="19"/>
              </w:rPr>
              <w:t xml:space="preserve"> Division</w:t>
            </w:r>
          </w:p>
          <w:p w14:paraId="25827A73" w14:textId="77777777" w:rsidR="000D23FA" w:rsidRPr="00BF4840" w:rsidRDefault="000D23FA" w:rsidP="00C86FC3">
            <w:pPr>
              <w:pStyle w:val="Table"/>
              <w:rPr>
                <w:sz w:val="19"/>
                <w:szCs w:val="19"/>
              </w:rPr>
            </w:pPr>
            <w:r w:rsidRPr="00BF4840">
              <w:rPr>
                <w:sz w:val="19"/>
                <w:szCs w:val="19"/>
              </w:rPr>
              <w:t>ED First Nations Division</w:t>
            </w:r>
          </w:p>
          <w:p w14:paraId="5A6F09E4" w14:textId="7084C2F1" w:rsidR="000D23FA" w:rsidRPr="00BF4840" w:rsidRDefault="000D23FA" w:rsidP="00C86FC3">
            <w:pPr>
              <w:pStyle w:val="Table"/>
              <w:rPr>
                <w:sz w:val="19"/>
                <w:szCs w:val="19"/>
              </w:rPr>
            </w:pPr>
            <w:r w:rsidRPr="00BF4840">
              <w:rPr>
                <w:sz w:val="19"/>
                <w:szCs w:val="19"/>
              </w:rPr>
              <w:t>CO State Emergency Service</w:t>
            </w:r>
          </w:p>
          <w:p w14:paraId="4A90B3BB" w14:textId="18FEB38B" w:rsidR="000D23FA" w:rsidRPr="00BF4840" w:rsidRDefault="000D23FA" w:rsidP="00C86FC3">
            <w:pPr>
              <w:pStyle w:val="Table"/>
              <w:rPr>
                <w:sz w:val="19"/>
                <w:szCs w:val="19"/>
              </w:rPr>
            </w:pPr>
            <w:r w:rsidRPr="00BF4840">
              <w:rPr>
                <w:sz w:val="19"/>
                <w:szCs w:val="19"/>
              </w:rPr>
              <w:t>CO Marine Rescue Queensland</w:t>
            </w:r>
          </w:p>
        </w:tc>
        <w:tc>
          <w:tcPr>
            <w:tcW w:w="1418" w:type="dxa"/>
            <w:tcBorders>
              <w:top w:val="nil"/>
            </w:tcBorders>
          </w:tcPr>
          <w:p w14:paraId="2C4BFA2E" w14:textId="2FBF4FEA" w:rsidR="000D23FA" w:rsidRPr="00BF4840" w:rsidRDefault="000D23FA" w:rsidP="00C86FC3">
            <w:pPr>
              <w:pStyle w:val="Table"/>
              <w:rPr>
                <w:sz w:val="19"/>
                <w:szCs w:val="19"/>
              </w:rPr>
            </w:pPr>
            <w:r w:rsidRPr="00BF4840">
              <w:rPr>
                <w:sz w:val="19"/>
                <w:szCs w:val="19"/>
              </w:rPr>
              <w:t>Ongoing</w:t>
            </w:r>
          </w:p>
        </w:tc>
        <w:tc>
          <w:tcPr>
            <w:tcW w:w="1417" w:type="dxa"/>
            <w:tcBorders>
              <w:top w:val="nil"/>
            </w:tcBorders>
          </w:tcPr>
          <w:p w14:paraId="79C98A1A" w14:textId="6CBA4A23" w:rsidR="001A004B" w:rsidRPr="00BF4840" w:rsidRDefault="000D23FA" w:rsidP="00C86FC3">
            <w:pPr>
              <w:pStyle w:val="Table"/>
              <w:rPr>
                <w:sz w:val="19"/>
                <w:szCs w:val="19"/>
              </w:rPr>
            </w:pPr>
            <w:r w:rsidRPr="00BF4840">
              <w:rPr>
                <w:sz w:val="19"/>
                <w:szCs w:val="19"/>
              </w:rPr>
              <w:t>A1</w:t>
            </w:r>
          </w:p>
        </w:tc>
        <w:tc>
          <w:tcPr>
            <w:tcW w:w="1560" w:type="dxa"/>
            <w:tcBorders>
              <w:top w:val="nil"/>
            </w:tcBorders>
          </w:tcPr>
          <w:p w14:paraId="43C40E04" w14:textId="33D20AE5" w:rsidR="001A004B" w:rsidRPr="00BF4840" w:rsidRDefault="000D23FA" w:rsidP="00C86FC3">
            <w:pPr>
              <w:pStyle w:val="Table"/>
              <w:rPr>
                <w:sz w:val="19"/>
                <w:szCs w:val="19"/>
              </w:rPr>
            </w:pPr>
            <w:r w:rsidRPr="00BF4840">
              <w:rPr>
                <w:sz w:val="19"/>
                <w:szCs w:val="19"/>
              </w:rPr>
              <w:t>Attraction &amp; Recruitment</w:t>
            </w:r>
          </w:p>
        </w:tc>
      </w:tr>
      <w:tr w:rsidR="0095320D" w14:paraId="3F7A9C6E" w14:textId="77777777" w:rsidTr="00126650">
        <w:trPr>
          <w:cantSplit/>
        </w:trPr>
        <w:tc>
          <w:tcPr>
            <w:tcW w:w="700" w:type="dxa"/>
          </w:tcPr>
          <w:p w14:paraId="3D25EDA6" w14:textId="77777777" w:rsidR="000D23FA" w:rsidRPr="00BF4840" w:rsidRDefault="000D23FA" w:rsidP="00164271">
            <w:pPr>
              <w:pStyle w:val="ActivityNo"/>
              <w:rPr>
                <w:sz w:val="19"/>
                <w:szCs w:val="19"/>
              </w:rPr>
            </w:pPr>
          </w:p>
        </w:tc>
        <w:tc>
          <w:tcPr>
            <w:tcW w:w="5816" w:type="dxa"/>
          </w:tcPr>
          <w:p w14:paraId="731ABD56" w14:textId="77777777" w:rsidR="000D23FA" w:rsidRPr="00BF4840" w:rsidRDefault="000D23FA" w:rsidP="00164271">
            <w:pPr>
              <w:pStyle w:val="Table"/>
              <w:rPr>
                <w:sz w:val="19"/>
                <w:szCs w:val="19"/>
              </w:rPr>
            </w:pPr>
            <w:r w:rsidRPr="00BF4840">
              <w:rPr>
                <w:sz w:val="19"/>
                <w:szCs w:val="19"/>
              </w:rPr>
              <w:t>Deliver improvements to the Psychological Assessment Unit policies and procedures to ensure contemporary psychological selection practices for recruitment.</w:t>
            </w:r>
          </w:p>
        </w:tc>
        <w:tc>
          <w:tcPr>
            <w:tcW w:w="3685" w:type="dxa"/>
          </w:tcPr>
          <w:p w14:paraId="63DE89BF" w14:textId="7E3A932A" w:rsidR="00126650" w:rsidRPr="00BF4840" w:rsidRDefault="00126650" w:rsidP="00164271">
            <w:pPr>
              <w:pStyle w:val="Table"/>
              <w:rPr>
                <w:sz w:val="19"/>
                <w:szCs w:val="19"/>
              </w:rPr>
            </w:pPr>
            <w:r w:rsidRPr="00BF4840">
              <w:rPr>
                <w:sz w:val="19"/>
                <w:szCs w:val="19"/>
              </w:rPr>
              <w:t xml:space="preserve">ED </w:t>
            </w:r>
            <w:r>
              <w:rPr>
                <w:sz w:val="19"/>
                <w:szCs w:val="19"/>
              </w:rPr>
              <w:t xml:space="preserve">Workforce Management &amp; Wellbeing </w:t>
            </w:r>
            <w:r w:rsidRPr="00BF4840">
              <w:rPr>
                <w:sz w:val="19"/>
                <w:szCs w:val="19"/>
              </w:rPr>
              <w:t>Division</w:t>
            </w:r>
          </w:p>
        </w:tc>
        <w:tc>
          <w:tcPr>
            <w:tcW w:w="1418" w:type="dxa"/>
          </w:tcPr>
          <w:p w14:paraId="6B5747D0" w14:textId="77777777" w:rsidR="000D23FA" w:rsidRPr="00BF4840" w:rsidRDefault="000D23FA" w:rsidP="00164271">
            <w:pPr>
              <w:pStyle w:val="Table"/>
              <w:rPr>
                <w:sz w:val="19"/>
                <w:szCs w:val="19"/>
              </w:rPr>
            </w:pPr>
            <w:r w:rsidRPr="00BF4840">
              <w:rPr>
                <w:sz w:val="19"/>
                <w:szCs w:val="19"/>
              </w:rPr>
              <w:t>30/06/2026</w:t>
            </w:r>
          </w:p>
        </w:tc>
        <w:tc>
          <w:tcPr>
            <w:tcW w:w="1417" w:type="dxa"/>
          </w:tcPr>
          <w:p w14:paraId="0E6AF831" w14:textId="77777777" w:rsidR="000D23FA" w:rsidRPr="00BF4840" w:rsidRDefault="000D23FA" w:rsidP="00164271">
            <w:pPr>
              <w:pStyle w:val="Table"/>
              <w:rPr>
                <w:sz w:val="19"/>
                <w:szCs w:val="19"/>
              </w:rPr>
            </w:pPr>
            <w:r w:rsidRPr="00BF4840">
              <w:rPr>
                <w:sz w:val="19"/>
                <w:szCs w:val="19"/>
              </w:rPr>
              <w:t>A2</w:t>
            </w:r>
          </w:p>
        </w:tc>
        <w:tc>
          <w:tcPr>
            <w:tcW w:w="1560" w:type="dxa"/>
          </w:tcPr>
          <w:p w14:paraId="38C02C92" w14:textId="77777777" w:rsidR="000D23FA" w:rsidRPr="00BF4840" w:rsidRDefault="000D23FA" w:rsidP="00164271">
            <w:pPr>
              <w:pStyle w:val="Table"/>
              <w:rPr>
                <w:sz w:val="19"/>
                <w:szCs w:val="19"/>
              </w:rPr>
            </w:pPr>
            <w:r w:rsidRPr="00BF4840">
              <w:rPr>
                <w:sz w:val="19"/>
                <w:szCs w:val="19"/>
              </w:rPr>
              <w:t>Attraction &amp; Recruitment</w:t>
            </w:r>
          </w:p>
        </w:tc>
      </w:tr>
      <w:tr w:rsidR="0095320D" w14:paraId="1764456B" w14:textId="77777777" w:rsidTr="005E0220">
        <w:trPr>
          <w:cantSplit/>
        </w:trPr>
        <w:tc>
          <w:tcPr>
            <w:tcW w:w="700" w:type="dxa"/>
            <w:tcBorders>
              <w:bottom w:val="single" w:sz="4" w:space="0" w:color="auto"/>
            </w:tcBorders>
          </w:tcPr>
          <w:p w14:paraId="3F5FBF07" w14:textId="77777777" w:rsidR="000D23FA" w:rsidRPr="00BF4840" w:rsidRDefault="000D23FA" w:rsidP="000D23FA">
            <w:pPr>
              <w:pStyle w:val="ActivityNo"/>
              <w:rPr>
                <w:sz w:val="19"/>
                <w:szCs w:val="19"/>
              </w:rPr>
            </w:pPr>
          </w:p>
        </w:tc>
        <w:tc>
          <w:tcPr>
            <w:tcW w:w="5816" w:type="dxa"/>
            <w:tcBorders>
              <w:bottom w:val="single" w:sz="4" w:space="0" w:color="auto"/>
            </w:tcBorders>
          </w:tcPr>
          <w:p w14:paraId="57303E5E" w14:textId="1667A777" w:rsidR="000D23FA" w:rsidRPr="00BF4840" w:rsidRDefault="000D23FA" w:rsidP="00C86FC3">
            <w:pPr>
              <w:pStyle w:val="Table"/>
              <w:rPr>
                <w:sz w:val="19"/>
                <w:szCs w:val="19"/>
              </w:rPr>
            </w:pPr>
            <w:r w:rsidRPr="00BF4840">
              <w:rPr>
                <w:sz w:val="19"/>
                <w:szCs w:val="19"/>
              </w:rPr>
              <w:t xml:space="preserve">Strengthen partnerships and collaboration with stakeholders and community groups to improve and expand talent pathways into the </w:t>
            </w:r>
            <w:r w:rsidR="006237E0">
              <w:rPr>
                <w:sz w:val="19"/>
                <w:szCs w:val="19"/>
              </w:rPr>
              <w:t>QPS</w:t>
            </w:r>
            <w:r w:rsidRPr="00BF4840">
              <w:rPr>
                <w:sz w:val="19"/>
                <w:szCs w:val="19"/>
              </w:rPr>
              <w:t>.</w:t>
            </w:r>
          </w:p>
        </w:tc>
        <w:tc>
          <w:tcPr>
            <w:tcW w:w="3685" w:type="dxa"/>
            <w:tcBorders>
              <w:bottom w:val="single" w:sz="4" w:space="0" w:color="auto"/>
            </w:tcBorders>
          </w:tcPr>
          <w:p w14:paraId="5136799D" w14:textId="77777777" w:rsidR="000D23FA" w:rsidRPr="00BF4840" w:rsidRDefault="000D23FA" w:rsidP="000D23FA">
            <w:pPr>
              <w:pStyle w:val="Table"/>
              <w:rPr>
                <w:sz w:val="19"/>
                <w:szCs w:val="19"/>
              </w:rPr>
            </w:pPr>
            <w:r w:rsidRPr="00BF4840">
              <w:rPr>
                <w:sz w:val="19"/>
                <w:szCs w:val="19"/>
              </w:rPr>
              <w:t>AC Recruiting &amp; Development Command</w:t>
            </w:r>
          </w:p>
          <w:p w14:paraId="2327A0D1" w14:textId="5B705E31" w:rsidR="000D23FA" w:rsidRPr="00BF4840" w:rsidRDefault="000D23FA" w:rsidP="00C86FC3">
            <w:pPr>
              <w:pStyle w:val="Table"/>
              <w:rPr>
                <w:sz w:val="19"/>
                <w:szCs w:val="19"/>
              </w:rPr>
            </w:pPr>
            <w:r w:rsidRPr="00BF4840">
              <w:rPr>
                <w:sz w:val="19"/>
                <w:szCs w:val="19"/>
              </w:rPr>
              <w:t xml:space="preserve">ED </w:t>
            </w:r>
            <w:r w:rsidR="00293477">
              <w:rPr>
                <w:sz w:val="19"/>
                <w:szCs w:val="19"/>
              </w:rPr>
              <w:t xml:space="preserve">Workforce Management &amp; Wellbeing </w:t>
            </w:r>
            <w:r w:rsidRPr="00BF4840">
              <w:rPr>
                <w:sz w:val="19"/>
                <w:szCs w:val="19"/>
              </w:rPr>
              <w:t>Division</w:t>
            </w:r>
          </w:p>
          <w:p w14:paraId="775DB640" w14:textId="77777777" w:rsidR="000D23FA" w:rsidRPr="00BF4840" w:rsidRDefault="000D23FA" w:rsidP="00C86FC3">
            <w:pPr>
              <w:pStyle w:val="Table"/>
              <w:rPr>
                <w:sz w:val="19"/>
                <w:szCs w:val="19"/>
              </w:rPr>
            </w:pPr>
            <w:r w:rsidRPr="00BF4840">
              <w:rPr>
                <w:sz w:val="19"/>
                <w:szCs w:val="19"/>
              </w:rPr>
              <w:t>ED First Nations Division</w:t>
            </w:r>
          </w:p>
          <w:p w14:paraId="70D57948" w14:textId="282CB0E3" w:rsidR="00126650" w:rsidRPr="00BF4840" w:rsidRDefault="00293477" w:rsidP="00C86FC3">
            <w:pPr>
              <w:pStyle w:val="Table"/>
              <w:rPr>
                <w:sz w:val="19"/>
                <w:szCs w:val="19"/>
              </w:rPr>
            </w:pPr>
            <w:r>
              <w:rPr>
                <w:sz w:val="19"/>
                <w:szCs w:val="19"/>
              </w:rPr>
              <w:t xml:space="preserve">CHSUP Domestic Family Violence &amp; Community Engagement Group </w:t>
            </w:r>
          </w:p>
        </w:tc>
        <w:tc>
          <w:tcPr>
            <w:tcW w:w="1418" w:type="dxa"/>
            <w:tcBorders>
              <w:bottom w:val="single" w:sz="4" w:space="0" w:color="auto"/>
            </w:tcBorders>
          </w:tcPr>
          <w:p w14:paraId="489AB6E4" w14:textId="0ED5F028" w:rsidR="000D23FA" w:rsidRPr="00BF4840" w:rsidRDefault="000D23FA" w:rsidP="00C86FC3">
            <w:pPr>
              <w:pStyle w:val="Table"/>
              <w:rPr>
                <w:sz w:val="19"/>
                <w:szCs w:val="19"/>
              </w:rPr>
            </w:pPr>
            <w:r w:rsidRPr="00BF4840">
              <w:rPr>
                <w:sz w:val="19"/>
                <w:szCs w:val="19"/>
              </w:rPr>
              <w:t>30/06/2027</w:t>
            </w:r>
          </w:p>
        </w:tc>
        <w:tc>
          <w:tcPr>
            <w:tcW w:w="1417" w:type="dxa"/>
            <w:tcBorders>
              <w:bottom w:val="single" w:sz="4" w:space="0" w:color="auto"/>
            </w:tcBorders>
          </w:tcPr>
          <w:p w14:paraId="72672CDB" w14:textId="6127E47B" w:rsidR="000D23FA" w:rsidRPr="00BF4840" w:rsidRDefault="000D23FA" w:rsidP="00C86FC3">
            <w:pPr>
              <w:pStyle w:val="Table"/>
              <w:rPr>
                <w:sz w:val="19"/>
                <w:szCs w:val="19"/>
              </w:rPr>
            </w:pPr>
            <w:r w:rsidRPr="00BF4840">
              <w:rPr>
                <w:sz w:val="19"/>
                <w:szCs w:val="19"/>
              </w:rPr>
              <w:t>A3</w:t>
            </w:r>
          </w:p>
        </w:tc>
        <w:tc>
          <w:tcPr>
            <w:tcW w:w="1560" w:type="dxa"/>
            <w:tcBorders>
              <w:bottom w:val="single" w:sz="4" w:space="0" w:color="auto"/>
            </w:tcBorders>
          </w:tcPr>
          <w:p w14:paraId="7B30BA34" w14:textId="289662F9" w:rsidR="000D23FA" w:rsidRPr="00BF4840" w:rsidRDefault="000D23FA" w:rsidP="00C86FC3">
            <w:pPr>
              <w:pStyle w:val="Table"/>
              <w:rPr>
                <w:sz w:val="19"/>
                <w:szCs w:val="19"/>
              </w:rPr>
            </w:pPr>
            <w:r w:rsidRPr="00BF4840">
              <w:rPr>
                <w:sz w:val="19"/>
                <w:szCs w:val="19"/>
              </w:rPr>
              <w:t xml:space="preserve">Attraction &amp; Recruitment </w:t>
            </w:r>
          </w:p>
        </w:tc>
      </w:tr>
      <w:tr w:rsidR="00BF4840" w:rsidRPr="00BF4840" w14:paraId="45998C26" w14:textId="77777777" w:rsidTr="005E0220">
        <w:trPr>
          <w:cantSplit/>
        </w:trPr>
        <w:tc>
          <w:tcPr>
            <w:tcW w:w="14596" w:type="dxa"/>
            <w:gridSpan w:val="6"/>
            <w:tcBorders>
              <w:bottom w:val="nil"/>
            </w:tcBorders>
            <w:shd w:val="clear" w:color="auto" w:fill="2F5496" w:themeFill="accent1" w:themeFillShade="BF"/>
          </w:tcPr>
          <w:p w14:paraId="3F7D5102" w14:textId="29D68FA5" w:rsidR="000D23FA" w:rsidRPr="00BF4840" w:rsidRDefault="000D23FA" w:rsidP="00164271">
            <w:pPr>
              <w:pStyle w:val="Table"/>
              <w:rPr>
                <w:b/>
                <w:bCs/>
                <w:color w:val="FFFFFF" w:themeColor="background1"/>
              </w:rPr>
            </w:pPr>
            <w:r w:rsidRPr="00BF4840">
              <w:rPr>
                <w:b/>
                <w:bCs/>
                <w:color w:val="FFFFFF" w:themeColor="background1"/>
              </w:rPr>
              <w:t xml:space="preserve">Healthy &amp; Inclusive Workplaces </w:t>
            </w:r>
          </w:p>
        </w:tc>
      </w:tr>
      <w:tr w:rsidR="0042787E" w14:paraId="37FCC4CF" w14:textId="77777777" w:rsidTr="005E0220">
        <w:trPr>
          <w:cantSplit/>
        </w:trPr>
        <w:tc>
          <w:tcPr>
            <w:tcW w:w="700" w:type="dxa"/>
            <w:tcBorders>
              <w:top w:val="nil"/>
            </w:tcBorders>
          </w:tcPr>
          <w:p w14:paraId="5D3F48D2" w14:textId="77777777" w:rsidR="0042787E" w:rsidRPr="00BF4840" w:rsidRDefault="0042787E" w:rsidP="000B5F23">
            <w:pPr>
              <w:pStyle w:val="ActivityNo"/>
              <w:rPr>
                <w:sz w:val="19"/>
                <w:szCs w:val="19"/>
              </w:rPr>
            </w:pPr>
          </w:p>
        </w:tc>
        <w:tc>
          <w:tcPr>
            <w:tcW w:w="5816" w:type="dxa"/>
            <w:tcBorders>
              <w:top w:val="nil"/>
            </w:tcBorders>
          </w:tcPr>
          <w:p w14:paraId="5FD98045" w14:textId="77777777" w:rsidR="0042787E" w:rsidRPr="00BF4840" w:rsidRDefault="0042787E" w:rsidP="000B5F23">
            <w:pPr>
              <w:pStyle w:val="Table"/>
              <w:rPr>
                <w:sz w:val="19"/>
                <w:szCs w:val="19"/>
              </w:rPr>
            </w:pPr>
            <w:r w:rsidRPr="00BF4840">
              <w:rPr>
                <w:sz w:val="19"/>
                <w:szCs w:val="19"/>
              </w:rPr>
              <w:t>Embed shared responsibility for health, safety, and belonging into organisational strategy and leadership development, emphasising the important protective role of social support.</w:t>
            </w:r>
          </w:p>
        </w:tc>
        <w:tc>
          <w:tcPr>
            <w:tcW w:w="3685" w:type="dxa"/>
            <w:tcBorders>
              <w:top w:val="nil"/>
            </w:tcBorders>
          </w:tcPr>
          <w:p w14:paraId="3CECB8D2" w14:textId="18C867E3" w:rsidR="0042787E" w:rsidRPr="00BF4840" w:rsidRDefault="0042787E" w:rsidP="000B5F23">
            <w:pPr>
              <w:pStyle w:val="Table"/>
              <w:rPr>
                <w:sz w:val="19"/>
                <w:szCs w:val="19"/>
              </w:rPr>
            </w:pPr>
            <w:r w:rsidRPr="00BF4840">
              <w:rPr>
                <w:sz w:val="19"/>
                <w:szCs w:val="19"/>
              </w:rPr>
              <w:t xml:space="preserve">ED </w:t>
            </w:r>
            <w:r w:rsidR="00293477">
              <w:rPr>
                <w:sz w:val="19"/>
                <w:szCs w:val="19"/>
              </w:rPr>
              <w:t xml:space="preserve">Workforce Management &amp; Wellbeing </w:t>
            </w:r>
            <w:r w:rsidRPr="00BF4840">
              <w:rPr>
                <w:sz w:val="19"/>
                <w:szCs w:val="19"/>
              </w:rPr>
              <w:t>Division</w:t>
            </w:r>
          </w:p>
          <w:p w14:paraId="607B16DF" w14:textId="77777777" w:rsidR="0042787E" w:rsidRPr="00BF4840" w:rsidRDefault="0042787E" w:rsidP="000B5F23">
            <w:pPr>
              <w:pStyle w:val="Table"/>
              <w:rPr>
                <w:sz w:val="19"/>
                <w:szCs w:val="19"/>
              </w:rPr>
            </w:pPr>
            <w:r w:rsidRPr="00BF4840">
              <w:rPr>
                <w:sz w:val="19"/>
                <w:szCs w:val="19"/>
              </w:rPr>
              <w:t>AC Recruiting &amp; Development Command</w:t>
            </w:r>
          </w:p>
        </w:tc>
        <w:tc>
          <w:tcPr>
            <w:tcW w:w="1418" w:type="dxa"/>
            <w:tcBorders>
              <w:top w:val="nil"/>
            </w:tcBorders>
          </w:tcPr>
          <w:p w14:paraId="6D2946E5" w14:textId="77777777" w:rsidR="0042787E" w:rsidRPr="00BF4840" w:rsidRDefault="0042787E" w:rsidP="000B5F23">
            <w:pPr>
              <w:pStyle w:val="Table"/>
              <w:rPr>
                <w:sz w:val="19"/>
                <w:szCs w:val="19"/>
              </w:rPr>
            </w:pPr>
            <w:r w:rsidRPr="00BF4840">
              <w:rPr>
                <w:sz w:val="19"/>
                <w:szCs w:val="19"/>
              </w:rPr>
              <w:t>30/06/2027</w:t>
            </w:r>
          </w:p>
        </w:tc>
        <w:tc>
          <w:tcPr>
            <w:tcW w:w="1417" w:type="dxa"/>
            <w:tcBorders>
              <w:top w:val="nil"/>
            </w:tcBorders>
          </w:tcPr>
          <w:p w14:paraId="6391AFE2" w14:textId="77777777" w:rsidR="0042787E" w:rsidRPr="00BF4840" w:rsidRDefault="0042787E" w:rsidP="000B5F23">
            <w:pPr>
              <w:pStyle w:val="Table"/>
              <w:rPr>
                <w:sz w:val="19"/>
                <w:szCs w:val="19"/>
              </w:rPr>
            </w:pPr>
            <w:r w:rsidRPr="00BF4840">
              <w:rPr>
                <w:sz w:val="19"/>
                <w:szCs w:val="19"/>
              </w:rPr>
              <w:t>B1, B4, D1</w:t>
            </w:r>
          </w:p>
        </w:tc>
        <w:tc>
          <w:tcPr>
            <w:tcW w:w="1560" w:type="dxa"/>
            <w:tcBorders>
              <w:top w:val="nil"/>
            </w:tcBorders>
          </w:tcPr>
          <w:p w14:paraId="67155222" w14:textId="77777777" w:rsidR="0042787E" w:rsidRPr="00BF4840" w:rsidRDefault="0042787E" w:rsidP="000B5F23">
            <w:pPr>
              <w:pStyle w:val="Table"/>
              <w:rPr>
                <w:sz w:val="19"/>
                <w:szCs w:val="19"/>
              </w:rPr>
            </w:pPr>
            <w:r w:rsidRPr="00BF4840">
              <w:rPr>
                <w:sz w:val="19"/>
                <w:szCs w:val="19"/>
              </w:rPr>
              <w:t>Health, Safety &amp; Wellbeing</w:t>
            </w:r>
          </w:p>
        </w:tc>
      </w:tr>
      <w:tr w:rsidR="00C334C1" w14:paraId="3CB632FE" w14:textId="77777777" w:rsidTr="00126650">
        <w:trPr>
          <w:cantSplit/>
        </w:trPr>
        <w:tc>
          <w:tcPr>
            <w:tcW w:w="700" w:type="dxa"/>
          </w:tcPr>
          <w:p w14:paraId="0EEB8213" w14:textId="77777777" w:rsidR="000D23FA" w:rsidRPr="00BF4840" w:rsidRDefault="000D23FA" w:rsidP="000D23FA">
            <w:pPr>
              <w:pStyle w:val="ActivityNo"/>
              <w:rPr>
                <w:sz w:val="19"/>
                <w:szCs w:val="19"/>
              </w:rPr>
            </w:pPr>
          </w:p>
        </w:tc>
        <w:tc>
          <w:tcPr>
            <w:tcW w:w="5816" w:type="dxa"/>
          </w:tcPr>
          <w:p w14:paraId="7BE9D1C4" w14:textId="348E80D8" w:rsidR="000D23FA" w:rsidRPr="00BF4840" w:rsidRDefault="000D23FA" w:rsidP="00C86FC3">
            <w:pPr>
              <w:pStyle w:val="Table"/>
              <w:rPr>
                <w:sz w:val="19"/>
                <w:szCs w:val="19"/>
              </w:rPr>
            </w:pPr>
            <w:r w:rsidRPr="00BF4840">
              <w:rPr>
                <w:sz w:val="19"/>
                <w:szCs w:val="19"/>
              </w:rPr>
              <w:t>Undertake the Q-Tool inclusivity audit of mental health and wellbeing support services.</w:t>
            </w:r>
          </w:p>
        </w:tc>
        <w:tc>
          <w:tcPr>
            <w:tcW w:w="3685" w:type="dxa"/>
          </w:tcPr>
          <w:p w14:paraId="54213540" w14:textId="5B463B97" w:rsidR="000D23FA" w:rsidRPr="00BF4840" w:rsidRDefault="000D23FA" w:rsidP="000D23FA">
            <w:pPr>
              <w:pStyle w:val="Table"/>
              <w:rPr>
                <w:sz w:val="19"/>
                <w:szCs w:val="19"/>
              </w:rPr>
            </w:pPr>
            <w:r w:rsidRPr="00BF4840">
              <w:rPr>
                <w:sz w:val="19"/>
                <w:szCs w:val="19"/>
              </w:rPr>
              <w:t xml:space="preserve">ED </w:t>
            </w:r>
            <w:r w:rsidR="00293477">
              <w:rPr>
                <w:sz w:val="19"/>
                <w:szCs w:val="19"/>
              </w:rPr>
              <w:t xml:space="preserve">Workforce Management </w:t>
            </w:r>
            <w:r w:rsidRPr="00BF4840">
              <w:rPr>
                <w:sz w:val="19"/>
                <w:szCs w:val="19"/>
              </w:rPr>
              <w:t>&amp; Wellbeing Division</w:t>
            </w:r>
          </w:p>
        </w:tc>
        <w:tc>
          <w:tcPr>
            <w:tcW w:w="1418" w:type="dxa"/>
          </w:tcPr>
          <w:p w14:paraId="1904CB91" w14:textId="4BF87112" w:rsidR="000D23FA" w:rsidRPr="00BF4840" w:rsidRDefault="000D23FA" w:rsidP="00C86FC3">
            <w:pPr>
              <w:pStyle w:val="Table"/>
              <w:rPr>
                <w:sz w:val="19"/>
                <w:szCs w:val="19"/>
              </w:rPr>
            </w:pPr>
            <w:r w:rsidRPr="00BF4840">
              <w:rPr>
                <w:sz w:val="19"/>
                <w:szCs w:val="19"/>
              </w:rPr>
              <w:t>30/06/2026</w:t>
            </w:r>
          </w:p>
        </w:tc>
        <w:tc>
          <w:tcPr>
            <w:tcW w:w="1417" w:type="dxa"/>
          </w:tcPr>
          <w:p w14:paraId="6802420E" w14:textId="3A5FB42A" w:rsidR="000D23FA" w:rsidRPr="00BF4840" w:rsidRDefault="000D23FA" w:rsidP="00C86FC3">
            <w:pPr>
              <w:pStyle w:val="Table"/>
              <w:rPr>
                <w:sz w:val="19"/>
                <w:szCs w:val="19"/>
              </w:rPr>
            </w:pPr>
            <w:r w:rsidRPr="00BF4840">
              <w:rPr>
                <w:sz w:val="19"/>
                <w:szCs w:val="19"/>
              </w:rPr>
              <w:t>B2</w:t>
            </w:r>
          </w:p>
        </w:tc>
        <w:tc>
          <w:tcPr>
            <w:tcW w:w="1560" w:type="dxa"/>
          </w:tcPr>
          <w:p w14:paraId="39ACFEC2" w14:textId="4A3B6650" w:rsidR="000D23FA" w:rsidRPr="00BF4840" w:rsidRDefault="000D23FA" w:rsidP="00C86FC3">
            <w:pPr>
              <w:pStyle w:val="Table"/>
              <w:rPr>
                <w:sz w:val="19"/>
                <w:szCs w:val="19"/>
              </w:rPr>
            </w:pPr>
            <w:r w:rsidRPr="00BF4840">
              <w:rPr>
                <w:sz w:val="19"/>
                <w:szCs w:val="19"/>
              </w:rPr>
              <w:t>Health, Safety &amp; Wellbeing</w:t>
            </w:r>
          </w:p>
        </w:tc>
      </w:tr>
      <w:tr w:rsidR="00EF070F" w14:paraId="5B6DEFBB" w14:textId="77777777" w:rsidTr="00126650">
        <w:trPr>
          <w:cantSplit/>
        </w:trPr>
        <w:tc>
          <w:tcPr>
            <w:tcW w:w="700" w:type="dxa"/>
          </w:tcPr>
          <w:p w14:paraId="66A382E2" w14:textId="77777777" w:rsidR="00EF070F" w:rsidRPr="00BF4840" w:rsidRDefault="00EF070F" w:rsidP="000B5F23">
            <w:pPr>
              <w:pStyle w:val="ActivityNo"/>
              <w:rPr>
                <w:sz w:val="19"/>
                <w:szCs w:val="19"/>
              </w:rPr>
            </w:pPr>
          </w:p>
        </w:tc>
        <w:tc>
          <w:tcPr>
            <w:tcW w:w="5816" w:type="dxa"/>
          </w:tcPr>
          <w:p w14:paraId="29E0FA42" w14:textId="5446C7F3" w:rsidR="00EF070F" w:rsidRPr="00BF4840" w:rsidRDefault="00EF070F" w:rsidP="000B5F23">
            <w:pPr>
              <w:pStyle w:val="Table"/>
              <w:rPr>
                <w:sz w:val="19"/>
                <w:szCs w:val="19"/>
              </w:rPr>
            </w:pPr>
            <w:r w:rsidRPr="00BF4840">
              <w:rPr>
                <w:sz w:val="19"/>
                <w:szCs w:val="19"/>
              </w:rPr>
              <w:t xml:space="preserve">Review and </w:t>
            </w:r>
            <w:r w:rsidRPr="00BF4840">
              <w:rPr>
                <w:rFonts w:eastAsia="Times New Roman" w:cstheme="majorHAnsi"/>
                <w:color w:val="000000"/>
                <w:kern w:val="0"/>
                <w:sz w:val="19"/>
                <w:szCs w:val="19"/>
                <w14:ligatures w14:val="none"/>
              </w:rPr>
              <w:t>improve QPS training programs to make them more accessible, and inclusive, to meet the diverse needs of employees, including those with caregiving responsibilities, neurodiverse individuals, people needing reasonable adjustments, and those with specific needs.</w:t>
            </w:r>
          </w:p>
        </w:tc>
        <w:tc>
          <w:tcPr>
            <w:tcW w:w="3685" w:type="dxa"/>
          </w:tcPr>
          <w:p w14:paraId="36ED8DDE" w14:textId="77777777" w:rsidR="00EF070F" w:rsidRPr="00BF4840" w:rsidRDefault="00EF070F" w:rsidP="000B5F23">
            <w:pPr>
              <w:pStyle w:val="Table"/>
              <w:rPr>
                <w:sz w:val="19"/>
                <w:szCs w:val="19"/>
              </w:rPr>
            </w:pPr>
            <w:r w:rsidRPr="00BF4840">
              <w:rPr>
                <w:sz w:val="19"/>
                <w:szCs w:val="19"/>
              </w:rPr>
              <w:t>AC Recruiting &amp; Development Command</w:t>
            </w:r>
          </w:p>
        </w:tc>
        <w:tc>
          <w:tcPr>
            <w:tcW w:w="1418" w:type="dxa"/>
          </w:tcPr>
          <w:p w14:paraId="526859F6" w14:textId="77777777" w:rsidR="00EF070F" w:rsidRPr="00BF4840" w:rsidRDefault="00EF070F" w:rsidP="000B5F23">
            <w:pPr>
              <w:pStyle w:val="Table"/>
              <w:rPr>
                <w:sz w:val="19"/>
                <w:szCs w:val="19"/>
              </w:rPr>
            </w:pPr>
            <w:r w:rsidRPr="00BF4840">
              <w:rPr>
                <w:sz w:val="19"/>
                <w:szCs w:val="19"/>
              </w:rPr>
              <w:t>30/06/2027</w:t>
            </w:r>
          </w:p>
        </w:tc>
        <w:tc>
          <w:tcPr>
            <w:tcW w:w="1417" w:type="dxa"/>
          </w:tcPr>
          <w:p w14:paraId="085003D1" w14:textId="5314E2AA" w:rsidR="00EF070F" w:rsidRPr="00BF4840" w:rsidRDefault="00EF070F" w:rsidP="000B5F23">
            <w:pPr>
              <w:pStyle w:val="Table"/>
              <w:rPr>
                <w:sz w:val="19"/>
                <w:szCs w:val="19"/>
              </w:rPr>
            </w:pPr>
            <w:r w:rsidRPr="00BF4840">
              <w:rPr>
                <w:sz w:val="19"/>
                <w:szCs w:val="19"/>
              </w:rPr>
              <w:t>B3, C1</w:t>
            </w:r>
          </w:p>
        </w:tc>
        <w:tc>
          <w:tcPr>
            <w:tcW w:w="1560" w:type="dxa"/>
          </w:tcPr>
          <w:p w14:paraId="00AF2D6A" w14:textId="77777777" w:rsidR="00EF070F" w:rsidRPr="00BF4840" w:rsidRDefault="00EF070F" w:rsidP="000B5F23">
            <w:pPr>
              <w:pStyle w:val="Table"/>
              <w:rPr>
                <w:sz w:val="19"/>
                <w:szCs w:val="19"/>
              </w:rPr>
            </w:pPr>
            <w:r w:rsidRPr="00BF4840">
              <w:rPr>
                <w:sz w:val="19"/>
                <w:szCs w:val="19"/>
              </w:rPr>
              <w:t>Growth, Development &amp; Career Progression</w:t>
            </w:r>
          </w:p>
        </w:tc>
      </w:tr>
      <w:tr w:rsidR="0095320D" w14:paraId="701CED81" w14:textId="77777777" w:rsidTr="00126650">
        <w:trPr>
          <w:cantSplit/>
        </w:trPr>
        <w:tc>
          <w:tcPr>
            <w:tcW w:w="700" w:type="dxa"/>
          </w:tcPr>
          <w:p w14:paraId="4793CB2C" w14:textId="77777777" w:rsidR="0095320D" w:rsidRPr="00BF4840" w:rsidRDefault="0095320D" w:rsidP="000D23FA">
            <w:pPr>
              <w:pStyle w:val="ActivityNo"/>
              <w:rPr>
                <w:sz w:val="19"/>
                <w:szCs w:val="19"/>
              </w:rPr>
            </w:pPr>
          </w:p>
        </w:tc>
        <w:tc>
          <w:tcPr>
            <w:tcW w:w="5816" w:type="dxa"/>
          </w:tcPr>
          <w:p w14:paraId="0BE63566" w14:textId="0E231B67" w:rsidR="0095320D" w:rsidRPr="00BF4840" w:rsidRDefault="0095320D" w:rsidP="00C86FC3">
            <w:pPr>
              <w:pStyle w:val="Table"/>
              <w:rPr>
                <w:sz w:val="19"/>
                <w:szCs w:val="19"/>
              </w:rPr>
            </w:pPr>
            <w:r w:rsidRPr="00BF4840">
              <w:rPr>
                <w:sz w:val="19"/>
                <w:szCs w:val="19"/>
              </w:rPr>
              <w:t xml:space="preserve">Recognise and reward contributions that promote belonging, inclusion and a positive workplace culture through </w:t>
            </w:r>
            <w:r w:rsidR="006237E0">
              <w:rPr>
                <w:sz w:val="19"/>
                <w:szCs w:val="19"/>
              </w:rPr>
              <w:t xml:space="preserve">the </w:t>
            </w:r>
            <w:r w:rsidRPr="00BF4840">
              <w:rPr>
                <w:sz w:val="19"/>
                <w:szCs w:val="19"/>
              </w:rPr>
              <w:t>QPS awards program.</w:t>
            </w:r>
          </w:p>
        </w:tc>
        <w:tc>
          <w:tcPr>
            <w:tcW w:w="3685" w:type="dxa"/>
          </w:tcPr>
          <w:p w14:paraId="199B3870" w14:textId="4CF07207" w:rsidR="0095320D" w:rsidRPr="00BF4840" w:rsidRDefault="0095320D" w:rsidP="000D23FA">
            <w:pPr>
              <w:pStyle w:val="Table"/>
              <w:rPr>
                <w:sz w:val="19"/>
                <w:szCs w:val="19"/>
              </w:rPr>
            </w:pPr>
            <w:r w:rsidRPr="00BF4840">
              <w:rPr>
                <w:sz w:val="19"/>
                <w:szCs w:val="19"/>
              </w:rPr>
              <w:t>AC Recruiting &amp; Development Command</w:t>
            </w:r>
          </w:p>
        </w:tc>
        <w:tc>
          <w:tcPr>
            <w:tcW w:w="1418" w:type="dxa"/>
          </w:tcPr>
          <w:p w14:paraId="72D0E4DF" w14:textId="11F859B3" w:rsidR="0095320D" w:rsidRPr="00BF4840" w:rsidRDefault="0095320D" w:rsidP="00C86FC3">
            <w:pPr>
              <w:pStyle w:val="Table"/>
              <w:rPr>
                <w:sz w:val="19"/>
                <w:szCs w:val="19"/>
              </w:rPr>
            </w:pPr>
            <w:r w:rsidRPr="00BF4840">
              <w:rPr>
                <w:sz w:val="19"/>
                <w:szCs w:val="19"/>
              </w:rPr>
              <w:t>30/06/2027</w:t>
            </w:r>
          </w:p>
        </w:tc>
        <w:tc>
          <w:tcPr>
            <w:tcW w:w="1417" w:type="dxa"/>
          </w:tcPr>
          <w:p w14:paraId="52E92417" w14:textId="3626521A" w:rsidR="0095320D" w:rsidRPr="00BF4840" w:rsidRDefault="0095320D" w:rsidP="00C86FC3">
            <w:pPr>
              <w:pStyle w:val="Table"/>
              <w:rPr>
                <w:sz w:val="19"/>
                <w:szCs w:val="19"/>
              </w:rPr>
            </w:pPr>
            <w:r w:rsidRPr="00BF4840">
              <w:rPr>
                <w:sz w:val="19"/>
                <w:szCs w:val="19"/>
              </w:rPr>
              <w:t>B4</w:t>
            </w:r>
          </w:p>
        </w:tc>
        <w:tc>
          <w:tcPr>
            <w:tcW w:w="1560" w:type="dxa"/>
          </w:tcPr>
          <w:p w14:paraId="551A618B" w14:textId="0AB8934E" w:rsidR="0095320D" w:rsidRPr="00BF4840" w:rsidRDefault="0095320D" w:rsidP="00C86FC3">
            <w:pPr>
              <w:pStyle w:val="Table"/>
              <w:rPr>
                <w:sz w:val="19"/>
                <w:szCs w:val="19"/>
              </w:rPr>
            </w:pPr>
            <w:r w:rsidRPr="00BF4840">
              <w:rPr>
                <w:sz w:val="19"/>
                <w:szCs w:val="19"/>
              </w:rPr>
              <w:t>Performance &amp; Recognition</w:t>
            </w:r>
          </w:p>
        </w:tc>
      </w:tr>
      <w:tr w:rsidR="00BF4840" w:rsidRPr="00BF4840" w14:paraId="2DB36EC1" w14:textId="77777777" w:rsidTr="00126650">
        <w:trPr>
          <w:cantSplit/>
        </w:trPr>
        <w:tc>
          <w:tcPr>
            <w:tcW w:w="14596" w:type="dxa"/>
            <w:gridSpan w:val="6"/>
            <w:shd w:val="clear" w:color="auto" w:fill="2F5496" w:themeFill="accent1" w:themeFillShade="BF"/>
          </w:tcPr>
          <w:p w14:paraId="4B704928" w14:textId="0DA06506" w:rsidR="0095320D" w:rsidRPr="00BF4840" w:rsidRDefault="0095320D" w:rsidP="00164271">
            <w:pPr>
              <w:pStyle w:val="Table"/>
              <w:rPr>
                <w:b/>
                <w:bCs/>
                <w:color w:val="FFFFFF" w:themeColor="background1"/>
              </w:rPr>
            </w:pPr>
            <w:r w:rsidRPr="00BF4840">
              <w:rPr>
                <w:b/>
                <w:bCs/>
                <w:color w:val="FFFFFF" w:themeColor="background1"/>
              </w:rPr>
              <w:t>Fair &amp; Accessible Systems</w:t>
            </w:r>
          </w:p>
        </w:tc>
      </w:tr>
      <w:tr w:rsidR="00EF070F" w14:paraId="7584889F" w14:textId="77777777" w:rsidTr="00126650">
        <w:trPr>
          <w:cantSplit/>
        </w:trPr>
        <w:tc>
          <w:tcPr>
            <w:tcW w:w="700" w:type="dxa"/>
          </w:tcPr>
          <w:p w14:paraId="400B1931" w14:textId="77777777" w:rsidR="00EF070F" w:rsidRPr="00BF4840" w:rsidRDefault="00EF070F" w:rsidP="000B5F23">
            <w:pPr>
              <w:pStyle w:val="ActivityNo"/>
              <w:rPr>
                <w:sz w:val="19"/>
                <w:szCs w:val="19"/>
              </w:rPr>
            </w:pPr>
          </w:p>
        </w:tc>
        <w:tc>
          <w:tcPr>
            <w:tcW w:w="5816" w:type="dxa"/>
          </w:tcPr>
          <w:p w14:paraId="04D232CA" w14:textId="3CDEAD1C" w:rsidR="00EF070F" w:rsidRPr="00BF4840" w:rsidRDefault="00EF070F" w:rsidP="000B5F23">
            <w:pPr>
              <w:pStyle w:val="Table"/>
              <w:rPr>
                <w:sz w:val="19"/>
                <w:szCs w:val="19"/>
              </w:rPr>
            </w:pPr>
            <w:r w:rsidRPr="00BF4840">
              <w:rPr>
                <w:sz w:val="19"/>
                <w:szCs w:val="19"/>
              </w:rPr>
              <w:t xml:space="preserve">Refresh </w:t>
            </w:r>
            <w:r w:rsidRPr="00BF4840">
              <w:rPr>
                <w:rFonts w:eastAsia="Times New Roman" w:cstheme="majorHAnsi"/>
                <w:color w:val="000000"/>
                <w:kern w:val="0"/>
                <w:sz w:val="19"/>
                <w:szCs w:val="19"/>
                <w14:ligatures w14:val="none"/>
              </w:rPr>
              <w:t xml:space="preserve">the QPS Individual Development and Performance (DAP) program to </w:t>
            </w:r>
            <w:r w:rsidR="0042787E" w:rsidRPr="00BF4840">
              <w:rPr>
                <w:rFonts w:eastAsia="Times New Roman" w:cstheme="majorHAnsi"/>
                <w:color w:val="000000"/>
                <w:kern w:val="0"/>
                <w:sz w:val="19"/>
                <w:szCs w:val="19"/>
                <w14:ligatures w14:val="none"/>
              </w:rPr>
              <w:t>prioritise a</w:t>
            </w:r>
            <w:r w:rsidRPr="00BF4840">
              <w:rPr>
                <w:rFonts w:eastAsia="Times New Roman" w:cstheme="majorHAnsi"/>
                <w:color w:val="000000"/>
                <w:kern w:val="0"/>
                <w:sz w:val="19"/>
                <w:szCs w:val="19"/>
                <w14:ligatures w14:val="none"/>
              </w:rPr>
              <w:t xml:space="preserve"> perso</w:t>
            </w:r>
            <w:r w:rsidR="0042787E" w:rsidRPr="00BF4840">
              <w:rPr>
                <w:rFonts w:eastAsia="Times New Roman" w:cstheme="majorHAnsi"/>
                <w:color w:val="000000"/>
                <w:kern w:val="0"/>
                <w:sz w:val="19"/>
                <w:szCs w:val="19"/>
                <w14:ligatures w14:val="none"/>
              </w:rPr>
              <w:t>n-centred approach</w:t>
            </w:r>
            <w:r w:rsidRPr="00BF4840">
              <w:rPr>
                <w:rFonts w:eastAsia="Times New Roman" w:cstheme="majorHAnsi"/>
                <w:color w:val="000000"/>
                <w:kern w:val="0"/>
                <w:sz w:val="19"/>
                <w:szCs w:val="19"/>
                <w14:ligatures w14:val="none"/>
              </w:rPr>
              <w:t>, that recognises the diversity of individuals and roles across the QPS.</w:t>
            </w:r>
          </w:p>
        </w:tc>
        <w:tc>
          <w:tcPr>
            <w:tcW w:w="3685" w:type="dxa"/>
          </w:tcPr>
          <w:p w14:paraId="0EF31586" w14:textId="3068FEAD" w:rsidR="00EF070F" w:rsidRPr="00BF4840" w:rsidRDefault="00EF070F" w:rsidP="000B5F23">
            <w:pPr>
              <w:pStyle w:val="Table"/>
              <w:rPr>
                <w:sz w:val="19"/>
                <w:szCs w:val="19"/>
              </w:rPr>
            </w:pPr>
            <w:r w:rsidRPr="00BF4840">
              <w:rPr>
                <w:sz w:val="19"/>
                <w:szCs w:val="19"/>
              </w:rPr>
              <w:t xml:space="preserve">ED </w:t>
            </w:r>
            <w:r w:rsidR="00293477">
              <w:rPr>
                <w:sz w:val="19"/>
                <w:szCs w:val="19"/>
              </w:rPr>
              <w:t xml:space="preserve">Workforce Management &amp; Wellbeing </w:t>
            </w:r>
            <w:r w:rsidRPr="00BF4840">
              <w:rPr>
                <w:sz w:val="19"/>
                <w:szCs w:val="19"/>
              </w:rPr>
              <w:t>Division</w:t>
            </w:r>
          </w:p>
        </w:tc>
        <w:tc>
          <w:tcPr>
            <w:tcW w:w="1418" w:type="dxa"/>
          </w:tcPr>
          <w:p w14:paraId="1E8D7A9E" w14:textId="77777777" w:rsidR="00EF070F" w:rsidRPr="00BF4840" w:rsidRDefault="00EF070F" w:rsidP="000B5F23">
            <w:pPr>
              <w:pStyle w:val="Table"/>
              <w:rPr>
                <w:sz w:val="19"/>
                <w:szCs w:val="19"/>
              </w:rPr>
            </w:pPr>
            <w:r w:rsidRPr="00BF4840">
              <w:rPr>
                <w:sz w:val="19"/>
                <w:szCs w:val="19"/>
              </w:rPr>
              <w:t>30/06/2027</w:t>
            </w:r>
          </w:p>
        </w:tc>
        <w:tc>
          <w:tcPr>
            <w:tcW w:w="1417" w:type="dxa"/>
          </w:tcPr>
          <w:p w14:paraId="34A5B712" w14:textId="77777777" w:rsidR="00EF070F" w:rsidRPr="00BF4840" w:rsidRDefault="00EF070F" w:rsidP="000B5F23">
            <w:pPr>
              <w:pStyle w:val="Table"/>
              <w:rPr>
                <w:sz w:val="19"/>
                <w:szCs w:val="19"/>
              </w:rPr>
            </w:pPr>
            <w:r w:rsidRPr="00BF4840">
              <w:rPr>
                <w:sz w:val="19"/>
                <w:szCs w:val="19"/>
              </w:rPr>
              <w:t>C1, B3</w:t>
            </w:r>
          </w:p>
        </w:tc>
        <w:tc>
          <w:tcPr>
            <w:tcW w:w="1560" w:type="dxa"/>
          </w:tcPr>
          <w:p w14:paraId="546D05CE" w14:textId="77777777" w:rsidR="00EF070F" w:rsidRPr="00BF4840" w:rsidRDefault="00EF070F" w:rsidP="000B5F23">
            <w:pPr>
              <w:pStyle w:val="Table"/>
              <w:rPr>
                <w:sz w:val="19"/>
                <w:szCs w:val="19"/>
              </w:rPr>
            </w:pPr>
            <w:r w:rsidRPr="00BF4840">
              <w:rPr>
                <w:sz w:val="19"/>
                <w:szCs w:val="19"/>
              </w:rPr>
              <w:t>Growth, Development &amp; Career Progression</w:t>
            </w:r>
          </w:p>
        </w:tc>
      </w:tr>
      <w:tr w:rsidR="00EF070F" w14:paraId="07DFBFDD" w14:textId="77777777" w:rsidTr="00126650">
        <w:trPr>
          <w:cantSplit/>
        </w:trPr>
        <w:tc>
          <w:tcPr>
            <w:tcW w:w="700" w:type="dxa"/>
          </w:tcPr>
          <w:p w14:paraId="2AB380B0" w14:textId="77777777" w:rsidR="00EF070F" w:rsidRPr="00BF4840" w:rsidRDefault="00EF070F" w:rsidP="000B5F23">
            <w:pPr>
              <w:pStyle w:val="ActivityNo"/>
              <w:rPr>
                <w:sz w:val="19"/>
                <w:szCs w:val="19"/>
              </w:rPr>
            </w:pPr>
          </w:p>
        </w:tc>
        <w:tc>
          <w:tcPr>
            <w:tcW w:w="5816" w:type="dxa"/>
          </w:tcPr>
          <w:p w14:paraId="435CA073" w14:textId="4E8EF9E4" w:rsidR="00EF070F" w:rsidRPr="00BF4840" w:rsidRDefault="006237E0" w:rsidP="000B5F23">
            <w:pPr>
              <w:pStyle w:val="Table"/>
              <w:rPr>
                <w:sz w:val="19"/>
                <w:szCs w:val="19"/>
              </w:rPr>
            </w:pPr>
            <w:r>
              <w:rPr>
                <w:sz w:val="19"/>
                <w:szCs w:val="19"/>
              </w:rPr>
              <w:t>Establish</w:t>
            </w:r>
            <w:r w:rsidR="00EF070F" w:rsidRPr="00BF4840">
              <w:rPr>
                <w:sz w:val="19"/>
                <w:szCs w:val="19"/>
              </w:rPr>
              <w:t xml:space="preserve"> the 70:20:10 learning model to strengthen workforce capability and support continuous development, ensuring it reflects the diverse strengths, aspirations, and responsibilities of individuals and their roles.</w:t>
            </w:r>
          </w:p>
        </w:tc>
        <w:tc>
          <w:tcPr>
            <w:tcW w:w="3685" w:type="dxa"/>
          </w:tcPr>
          <w:p w14:paraId="538444AD" w14:textId="46FEFF20" w:rsidR="00EF070F" w:rsidRPr="00BF4840" w:rsidRDefault="00EF070F" w:rsidP="000B5F23">
            <w:pPr>
              <w:pStyle w:val="Table"/>
              <w:rPr>
                <w:sz w:val="19"/>
                <w:szCs w:val="19"/>
              </w:rPr>
            </w:pPr>
            <w:r w:rsidRPr="00BF4840">
              <w:rPr>
                <w:sz w:val="19"/>
                <w:szCs w:val="19"/>
              </w:rPr>
              <w:t xml:space="preserve">ED </w:t>
            </w:r>
            <w:r w:rsidR="00293477">
              <w:rPr>
                <w:sz w:val="19"/>
                <w:szCs w:val="19"/>
              </w:rPr>
              <w:t xml:space="preserve">Workforce Management &amp; Wellbeing </w:t>
            </w:r>
            <w:r w:rsidRPr="00BF4840">
              <w:rPr>
                <w:sz w:val="19"/>
                <w:szCs w:val="19"/>
              </w:rPr>
              <w:t>Division</w:t>
            </w:r>
          </w:p>
        </w:tc>
        <w:tc>
          <w:tcPr>
            <w:tcW w:w="1418" w:type="dxa"/>
          </w:tcPr>
          <w:p w14:paraId="144B8614" w14:textId="77777777" w:rsidR="00EF070F" w:rsidRPr="00BF4840" w:rsidRDefault="00EF070F" w:rsidP="000B5F23">
            <w:pPr>
              <w:pStyle w:val="Table"/>
              <w:rPr>
                <w:sz w:val="19"/>
                <w:szCs w:val="19"/>
              </w:rPr>
            </w:pPr>
            <w:r w:rsidRPr="00BF4840">
              <w:rPr>
                <w:sz w:val="19"/>
                <w:szCs w:val="19"/>
              </w:rPr>
              <w:t>30/06/2026</w:t>
            </w:r>
          </w:p>
        </w:tc>
        <w:tc>
          <w:tcPr>
            <w:tcW w:w="1417" w:type="dxa"/>
          </w:tcPr>
          <w:p w14:paraId="30636FF4" w14:textId="3354489E" w:rsidR="00EF070F" w:rsidRPr="00BF4840" w:rsidRDefault="00EF070F" w:rsidP="000B5F23">
            <w:pPr>
              <w:pStyle w:val="Table"/>
              <w:rPr>
                <w:sz w:val="19"/>
                <w:szCs w:val="19"/>
              </w:rPr>
            </w:pPr>
            <w:r w:rsidRPr="00BF4840">
              <w:rPr>
                <w:sz w:val="19"/>
                <w:szCs w:val="19"/>
              </w:rPr>
              <w:t>C1, B3</w:t>
            </w:r>
          </w:p>
        </w:tc>
        <w:tc>
          <w:tcPr>
            <w:tcW w:w="1560" w:type="dxa"/>
          </w:tcPr>
          <w:p w14:paraId="71CAB070" w14:textId="77777777" w:rsidR="00EF070F" w:rsidRPr="00BF4840" w:rsidRDefault="00EF070F" w:rsidP="000B5F23">
            <w:pPr>
              <w:pStyle w:val="Table"/>
              <w:rPr>
                <w:sz w:val="19"/>
                <w:szCs w:val="19"/>
              </w:rPr>
            </w:pPr>
            <w:r w:rsidRPr="00BF4840">
              <w:rPr>
                <w:sz w:val="19"/>
                <w:szCs w:val="19"/>
              </w:rPr>
              <w:t>Growth, Development &amp; Career Progression</w:t>
            </w:r>
          </w:p>
        </w:tc>
      </w:tr>
      <w:tr w:rsidR="0095320D" w14:paraId="4FCBA75C" w14:textId="77777777" w:rsidTr="00126650">
        <w:trPr>
          <w:cantSplit/>
        </w:trPr>
        <w:tc>
          <w:tcPr>
            <w:tcW w:w="700" w:type="dxa"/>
          </w:tcPr>
          <w:p w14:paraId="32659B16" w14:textId="77777777" w:rsidR="0095320D" w:rsidRPr="00BF4840" w:rsidRDefault="0095320D" w:rsidP="000D23FA">
            <w:pPr>
              <w:pStyle w:val="ActivityNo"/>
              <w:rPr>
                <w:sz w:val="19"/>
                <w:szCs w:val="19"/>
              </w:rPr>
            </w:pPr>
          </w:p>
        </w:tc>
        <w:tc>
          <w:tcPr>
            <w:tcW w:w="5816" w:type="dxa"/>
          </w:tcPr>
          <w:p w14:paraId="7EFB6B16" w14:textId="1DFEBF6A" w:rsidR="0095320D" w:rsidRPr="00BF4840" w:rsidRDefault="0095320D" w:rsidP="00C86FC3">
            <w:pPr>
              <w:pStyle w:val="Table"/>
              <w:rPr>
                <w:sz w:val="19"/>
                <w:szCs w:val="19"/>
              </w:rPr>
            </w:pPr>
            <w:r w:rsidRPr="00BF4840">
              <w:rPr>
                <w:sz w:val="19"/>
                <w:szCs w:val="19"/>
              </w:rPr>
              <w:t xml:space="preserve">Deliver a technical solution to streamline and improve the administration of the QPS higher duties and relieving (EOI) processes, to ensure transparency, fairness, and enable the identification and mitigation of barriers to </w:t>
            </w:r>
            <w:r w:rsidR="0042787E" w:rsidRPr="00BF4840">
              <w:rPr>
                <w:sz w:val="19"/>
                <w:szCs w:val="19"/>
              </w:rPr>
              <w:t>accessibility</w:t>
            </w:r>
            <w:r w:rsidRPr="00BF4840">
              <w:rPr>
                <w:sz w:val="19"/>
                <w:szCs w:val="19"/>
              </w:rPr>
              <w:t xml:space="preserve"> and inclusion.</w:t>
            </w:r>
          </w:p>
        </w:tc>
        <w:tc>
          <w:tcPr>
            <w:tcW w:w="3685" w:type="dxa"/>
          </w:tcPr>
          <w:p w14:paraId="0E4831DE" w14:textId="3F8E4505" w:rsidR="0095320D" w:rsidRPr="00BF4840" w:rsidRDefault="0095320D" w:rsidP="000D23FA">
            <w:pPr>
              <w:pStyle w:val="Table"/>
              <w:rPr>
                <w:sz w:val="19"/>
                <w:szCs w:val="19"/>
              </w:rPr>
            </w:pPr>
            <w:r w:rsidRPr="00BF4840">
              <w:rPr>
                <w:sz w:val="19"/>
                <w:szCs w:val="19"/>
              </w:rPr>
              <w:t xml:space="preserve">ED </w:t>
            </w:r>
            <w:r w:rsidR="00293477">
              <w:rPr>
                <w:sz w:val="19"/>
                <w:szCs w:val="19"/>
              </w:rPr>
              <w:t xml:space="preserve">Workforce Management &amp; Wellbeing </w:t>
            </w:r>
            <w:r w:rsidRPr="00BF4840">
              <w:rPr>
                <w:sz w:val="19"/>
                <w:szCs w:val="19"/>
              </w:rPr>
              <w:t>Division</w:t>
            </w:r>
          </w:p>
        </w:tc>
        <w:tc>
          <w:tcPr>
            <w:tcW w:w="1418" w:type="dxa"/>
          </w:tcPr>
          <w:p w14:paraId="02ADC354" w14:textId="340E8B26" w:rsidR="0095320D" w:rsidRPr="00BF4840" w:rsidRDefault="0095320D" w:rsidP="00C86FC3">
            <w:pPr>
              <w:pStyle w:val="Table"/>
              <w:rPr>
                <w:sz w:val="19"/>
                <w:szCs w:val="19"/>
              </w:rPr>
            </w:pPr>
            <w:r w:rsidRPr="00BF4840">
              <w:rPr>
                <w:sz w:val="19"/>
                <w:szCs w:val="19"/>
              </w:rPr>
              <w:t>30/06/2027</w:t>
            </w:r>
          </w:p>
        </w:tc>
        <w:tc>
          <w:tcPr>
            <w:tcW w:w="1417" w:type="dxa"/>
          </w:tcPr>
          <w:p w14:paraId="5F2B3166" w14:textId="4ED6B242" w:rsidR="0095320D" w:rsidRPr="00BF4840" w:rsidRDefault="0095320D" w:rsidP="00C86FC3">
            <w:pPr>
              <w:pStyle w:val="Table"/>
              <w:rPr>
                <w:sz w:val="19"/>
                <w:szCs w:val="19"/>
              </w:rPr>
            </w:pPr>
            <w:r w:rsidRPr="00BF4840">
              <w:rPr>
                <w:sz w:val="19"/>
                <w:szCs w:val="19"/>
              </w:rPr>
              <w:t>C1, C2</w:t>
            </w:r>
          </w:p>
        </w:tc>
        <w:tc>
          <w:tcPr>
            <w:tcW w:w="1560" w:type="dxa"/>
          </w:tcPr>
          <w:p w14:paraId="171305A1" w14:textId="04831A47" w:rsidR="0095320D" w:rsidRPr="00BF4840" w:rsidRDefault="0095320D" w:rsidP="00C86FC3">
            <w:pPr>
              <w:pStyle w:val="Table"/>
              <w:rPr>
                <w:sz w:val="19"/>
                <w:szCs w:val="19"/>
              </w:rPr>
            </w:pPr>
            <w:r w:rsidRPr="00BF4840">
              <w:rPr>
                <w:sz w:val="19"/>
                <w:szCs w:val="19"/>
              </w:rPr>
              <w:t>Growth, Development &amp; Career Progression</w:t>
            </w:r>
          </w:p>
        </w:tc>
      </w:tr>
      <w:tr w:rsidR="0095320D" w14:paraId="77DE6BDE" w14:textId="77777777" w:rsidTr="00126650">
        <w:trPr>
          <w:cantSplit/>
        </w:trPr>
        <w:tc>
          <w:tcPr>
            <w:tcW w:w="700" w:type="dxa"/>
          </w:tcPr>
          <w:p w14:paraId="4BEB5DC7" w14:textId="77777777" w:rsidR="0095320D" w:rsidRPr="00BF4840" w:rsidRDefault="0095320D" w:rsidP="000D23FA">
            <w:pPr>
              <w:pStyle w:val="ActivityNo"/>
              <w:rPr>
                <w:sz w:val="19"/>
                <w:szCs w:val="19"/>
              </w:rPr>
            </w:pPr>
          </w:p>
        </w:tc>
        <w:tc>
          <w:tcPr>
            <w:tcW w:w="5816" w:type="dxa"/>
          </w:tcPr>
          <w:p w14:paraId="1F797DC0" w14:textId="558ACD67" w:rsidR="0095320D" w:rsidRPr="00BF4840" w:rsidRDefault="0095320D" w:rsidP="00C86FC3">
            <w:pPr>
              <w:pStyle w:val="Table"/>
              <w:rPr>
                <w:sz w:val="19"/>
                <w:szCs w:val="19"/>
              </w:rPr>
            </w:pPr>
            <w:r w:rsidRPr="00BF4840">
              <w:rPr>
                <w:sz w:val="19"/>
                <w:szCs w:val="19"/>
              </w:rPr>
              <w:t>Integrate equity, diversity, respect, and inclusion principles into the QPS performance management framework</w:t>
            </w:r>
            <w:r w:rsidR="006237E0">
              <w:rPr>
                <w:sz w:val="19"/>
                <w:szCs w:val="19"/>
              </w:rPr>
              <w:t xml:space="preserve"> to </w:t>
            </w:r>
            <w:r w:rsidR="00F23C6E">
              <w:rPr>
                <w:sz w:val="19"/>
                <w:szCs w:val="19"/>
              </w:rPr>
              <w:t xml:space="preserve">promote and drive organisational change. </w:t>
            </w:r>
          </w:p>
        </w:tc>
        <w:tc>
          <w:tcPr>
            <w:tcW w:w="3685" w:type="dxa"/>
          </w:tcPr>
          <w:p w14:paraId="081C4E43" w14:textId="77777777" w:rsidR="00293477" w:rsidRDefault="00293477" w:rsidP="000D23FA">
            <w:pPr>
              <w:pStyle w:val="Table"/>
              <w:rPr>
                <w:sz w:val="19"/>
                <w:szCs w:val="19"/>
              </w:rPr>
            </w:pPr>
            <w:r>
              <w:rPr>
                <w:sz w:val="19"/>
                <w:szCs w:val="19"/>
              </w:rPr>
              <w:t>ED Workforce Management &amp; Wellbeing Division</w:t>
            </w:r>
          </w:p>
          <w:p w14:paraId="12D9FC27" w14:textId="2E4001DF" w:rsidR="00293477" w:rsidRPr="00BF4840" w:rsidRDefault="00293477" w:rsidP="000D23FA">
            <w:pPr>
              <w:pStyle w:val="Table"/>
              <w:rPr>
                <w:sz w:val="19"/>
                <w:szCs w:val="19"/>
              </w:rPr>
            </w:pPr>
            <w:r>
              <w:rPr>
                <w:sz w:val="19"/>
                <w:szCs w:val="19"/>
              </w:rPr>
              <w:t>CHSUP Domestic Family Violence &amp; Community Engagement Group</w:t>
            </w:r>
          </w:p>
        </w:tc>
        <w:tc>
          <w:tcPr>
            <w:tcW w:w="1418" w:type="dxa"/>
          </w:tcPr>
          <w:p w14:paraId="4FAB2FFF" w14:textId="568E9267" w:rsidR="0095320D" w:rsidRPr="00BF4840" w:rsidRDefault="0095320D" w:rsidP="00C86FC3">
            <w:pPr>
              <w:pStyle w:val="Table"/>
              <w:rPr>
                <w:sz w:val="19"/>
                <w:szCs w:val="19"/>
              </w:rPr>
            </w:pPr>
            <w:r w:rsidRPr="00BF4840">
              <w:rPr>
                <w:sz w:val="19"/>
                <w:szCs w:val="19"/>
              </w:rPr>
              <w:t>30/03/2027</w:t>
            </w:r>
          </w:p>
        </w:tc>
        <w:tc>
          <w:tcPr>
            <w:tcW w:w="1417" w:type="dxa"/>
          </w:tcPr>
          <w:p w14:paraId="755D1C94" w14:textId="4CFF1BDF" w:rsidR="0095320D" w:rsidRPr="00BF4840" w:rsidRDefault="0095320D" w:rsidP="00C86FC3">
            <w:pPr>
              <w:pStyle w:val="Table"/>
              <w:rPr>
                <w:sz w:val="19"/>
                <w:szCs w:val="19"/>
              </w:rPr>
            </w:pPr>
            <w:r w:rsidRPr="00BF4840">
              <w:rPr>
                <w:sz w:val="19"/>
                <w:szCs w:val="19"/>
              </w:rPr>
              <w:t>C3</w:t>
            </w:r>
          </w:p>
        </w:tc>
        <w:tc>
          <w:tcPr>
            <w:tcW w:w="1560" w:type="dxa"/>
          </w:tcPr>
          <w:p w14:paraId="101E5CE5" w14:textId="6D677529" w:rsidR="0095320D" w:rsidRPr="00BF4840" w:rsidRDefault="0095320D" w:rsidP="00C86FC3">
            <w:pPr>
              <w:pStyle w:val="Table"/>
              <w:rPr>
                <w:sz w:val="19"/>
                <w:szCs w:val="19"/>
              </w:rPr>
            </w:pPr>
            <w:r w:rsidRPr="00BF4840">
              <w:rPr>
                <w:sz w:val="19"/>
                <w:szCs w:val="19"/>
              </w:rPr>
              <w:t>Performance &amp; Recognition</w:t>
            </w:r>
          </w:p>
        </w:tc>
      </w:tr>
    </w:tbl>
    <w:p w14:paraId="3747583A" w14:textId="77777777" w:rsidR="00126650" w:rsidRDefault="00126650">
      <w:r>
        <w:br w:type="page"/>
      </w:r>
    </w:p>
    <w:tbl>
      <w:tblPr>
        <w:tblStyle w:val="TableGrid"/>
        <w:tblW w:w="0" w:type="auto"/>
        <w:tblLook w:val="04A0" w:firstRow="1" w:lastRow="0" w:firstColumn="1" w:lastColumn="0" w:noHBand="0" w:noVBand="1"/>
      </w:tblPr>
      <w:tblGrid>
        <w:gridCol w:w="700"/>
        <w:gridCol w:w="5816"/>
        <w:gridCol w:w="3685"/>
        <w:gridCol w:w="1418"/>
        <w:gridCol w:w="1417"/>
        <w:gridCol w:w="1560"/>
      </w:tblGrid>
      <w:tr w:rsidR="00437BFE" w14:paraId="29BE3D1E" w14:textId="77777777" w:rsidTr="00126650">
        <w:trPr>
          <w:cantSplit/>
          <w:tblHeader/>
        </w:trPr>
        <w:tc>
          <w:tcPr>
            <w:tcW w:w="14596" w:type="dxa"/>
            <w:gridSpan w:val="6"/>
            <w:shd w:val="clear" w:color="auto" w:fill="D9E2F3" w:themeFill="accent1" w:themeFillTint="33"/>
          </w:tcPr>
          <w:p w14:paraId="3BD3EEEA" w14:textId="63E730C8" w:rsidR="00437BFE" w:rsidRPr="00C86FC3" w:rsidRDefault="00437BFE" w:rsidP="00080DEF">
            <w:pPr>
              <w:pStyle w:val="Table"/>
              <w:rPr>
                <w:b/>
                <w:bCs/>
              </w:rPr>
            </w:pPr>
            <w:r w:rsidRPr="00C86FC3">
              <w:rPr>
                <w:b/>
                <w:bCs/>
              </w:rPr>
              <w:lastRenderedPageBreak/>
              <w:t>Performance Measures</w:t>
            </w:r>
          </w:p>
          <w:p w14:paraId="4C81645E" w14:textId="77777777" w:rsidR="00437BFE" w:rsidRDefault="00437BFE" w:rsidP="00080DEF">
            <w:pPr>
              <w:pStyle w:val="Table"/>
              <w:tabs>
                <w:tab w:val="left" w:pos="6621"/>
              </w:tabs>
            </w:pPr>
            <w:r>
              <w:sym w:font="Wingdings" w:char="F09F"/>
            </w:r>
            <w:r>
              <w:t xml:space="preserve">     Employee engagement</w:t>
            </w:r>
            <w:r>
              <w:tab/>
            </w:r>
            <w:r>
              <w:sym w:font="Wingdings" w:char="F09F"/>
            </w:r>
            <w:r>
              <w:t xml:space="preserve">     Volunteer engagement</w:t>
            </w:r>
          </w:p>
          <w:p w14:paraId="1AF4506E" w14:textId="77777777" w:rsidR="00437BFE" w:rsidRPr="002E4E99" w:rsidRDefault="00437BFE" w:rsidP="00080DEF">
            <w:pPr>
              <w:pStyle w:val="Table"/>
              <w:tabs>
                <w:tab w:val="left" w:pos="6621"/>
              </w:tabs>
            </w:pPr>
            <w:r>
              <w:sym w:font="Wingdings" w:char="F09F"/>
            </w:r>
            <w:r>
              <w:t xml:space="preserve">     Delivery of outcomes and initiatives </w:t>
            </w:r>
            <w:r>
              <w:tab/>
            </w:r>
            <w:r>
              <w:sym w:font="Wingdings" w:char="F09F"/>
            </w:r>
            <w:r>
              <w:t xml:space="preserve">     Workforce data and analytics </w:t>
            </w:r>
          </w:p>
        </w:tc>
      </w:tr>
      <w:tr w:rsidR="006237E0" w14:paraId="02362BA4" w14:textId="77777777" w:rsidTr="00126650">
        <w:trPr>
          <w:cantSplit/>
          <w:tblHeader/>
        </w:trPr>
        <w:tc>
          <w:tcPr>
            <w:tcW w:w="700" w:type="dxa"/>
            <w:tcBorders>
              <w:bottom w:val="single" w:sz="4" w:space="0" w:color="auto"/>
            </w:tcBorders>
            <w:shd w:val="clear" w:color="auto" w:fill="1F3864" w:themeFill="accent1" w:themeFillShade="80"/>
            <w:vAlign w:val="center"/>
          </w:tcPr>
          <w:p w14:paraId="250EAAC1" w14:textId="77777777" w:rsidR="006237E0" w:rsidRPr="00C86FC3" w:rsidRDefault="006237E0" w:rsidP="000B5F23">
            <w:pPr>
              <w:pStyle w:val="Table"/>
              <w:rPr>
                <w:b/>
                <w:bCs/>
                <w:color w:val="FFFFFF" w:themeColor="background1"/>
              </w:rPr>
            </w:pPr>
            <w:r w:rsidRPr="00C86FC3">
              <w:rPr>
                <w:b/>
                <w:bCs/>
                <w:color w:val="FFFFFF" w:themeColor="background1"/>
              </w:rPr>
              <w:t>No.</w:t>
            </w:r>
          </w:p>
        </w:tc>
        <w:tc>
          <w:tcPr>
            <w:tcW w:w="5816" w:type="dxa"/>
            <w:tcBorders>
              <w:bottom w:val="single" w:sz="4" w:space="0" w:color="auto"/>
            </w:tcBorders>
            <w:shd w:val="clear" w:color="auto" w:fill="1F3864" w:themeFill="accent1" w:themeFillShade="80"/>
            <w:vAlign w:val="center"/>
          </w:tcPr>
          <w:p w14:paraId="3EB96B55" w14:textId="77777777" w:rsidR="006237E0" w:rsidRPr="00C86FC3" w:rsidRDefault="006237E0" w:rsidP="000B5F23">
            <w:pPr>
              <w:pStyle w:val="Table"/>
              <w:rPr>
                <w:b/>
                <w:bCs/>
                <w:color w:val="FFFFFF" w:themeColor="background1"/>
              </w:rPr>
            </w:pPr>
            <w:r w:rsidRPr="00C86FC3">
              <w:rPr>
                <w:b/>
                <w:bCs/>
                <w:color w:val="FFFFFF" w:themeColor="background1"/>
              </w:rPr>
              <w:t>Key Activities</w:t>
            </w:r>
          </w:p>
        </w:tc>
        <w:tc>
          <w:tcPr>
            <w:tcW w:w="3685" w:type="dxa"/>
            <w:tcBorders>
              <w:bottom w:val="single" w:sz="4" w:space="0" w:color="auto"/>
            </w:tcBorders>
            <w:shd w:val="clear" w:color="auto" w:fill="1F3864" w:themeFill="accent1" w:themeFillShade="80"/>
            <w:vAlign w:val="center"/>
          </w:tcPr>
          <w:p w14:paraId="6A575EB6" w14:textId="77777777" w:rsidR="006237E0" w:rsidRPr="00C86FC3" w:rsidRDefault="006237E0" w:rsidP="000B5F23">
            <w:pPr>
              <w:pStyle w:val="Table"/>
              <w:rPr>
                <w:b/>
                <w:bCs/>
                <w:color w:val="FFFFFF" w:themeColor="background1"/>
              </w:rPr>
            </w:pPr>
            <w:r w:rsidRPr="00C86FC3">
              <w:rPr>
                <w:b/>
                <w:bCs/>
                <w:color w:val="FFFFFF" w:themeColor="background1"/>
              </w:rPr>
              <w:t>Responsible Officer</w:t>
            </w:r>
          </w:p>
        </w:tc>
        <w:tc>
          <w:tcPr>
            <w:tcW w:w="1418" w:type="dxa"/>
            <w:tcBorders>
              <w:bottom w:val="single" w:sz="4" w:space="0" w:color="auto"/>
            </w:tcBorders>
            <w:shd w:val="clear" w:color="auto" w:fill="1F3864" w:themeFill="accent1" w:themeFillShade="80"/>
            <w:vAlign w:val="center"/>
          </w:tcPr>
          <w:p w14:paraId="34D96D38" w14:textId="77777777" w:rsidR="006237E0" w:rsidRPr="00C86FC3" w:rsidRDefault="006237E0" w:rsidP="000B5F23">
            <w:pPr>
              <w:pStyle w:val="Table"/>
              <w:rPr>
                <w:b/>
                <w:bCs/>
                <w:color w:val="FFFFFF" w:themeColor="background1"/>
              </w:rPr>
            </w:pPr>
            <w:r w:rsidRPr="00C86FC3">
              <w:rPr>
                <w:b/>
                <w:bCs/>
                <w:color w:val="FFFFFF" w:themeColor="background1"/>
              </w:rPr>
              <w:t>Completion Date</w:t>
            </w:r>
          </w:p>
        </w:tc>
        <w:tc>
          <w:tcPr>
            <w:tcW w:w="1417" w:type="dxa"/>
            <w:tcBorders>
              <w:bottom w:val="single" w:sz="4" w:space="0" w:color="auto"/>
            </w:tcBorders>
            <w:shd w:val="clear" w:color="auto" w:fill="1F3864" w:themeFill="accent1" w:themeFillShade="80"/>
            <w:vAlign w:val="center"/>
          </w:tcPr>
          <w:p w14:paraId="143FD5E9" w14:textId="77777777" w:rsidR="006237E0" w:rsidRPr="0095320D" w:rsidRDefault="006237E0" w:rsidP="000B5F23">
            <w:pPr>
              <w:pStyle w:val="Table"/>
              <w:rPr>
                <w:b/>
                <w:bCs/>
                <w:color w:val="FFFFFF" w:themeColor="background1"/>
                <w:vertAlign w:val="superscript"/>
              </w:rPr>
            </w:pPr>
            <w:r w:rsidRPr="00C86FC3">
              <w:rPr>
                <w:b/>
                <w:bCs/>
                <w:color w:val="FFFFFF" w:themeColor="background1"/>
              </w:rPr>
              <w:t>Strategy Alignment</w:t>
            </w:r>
            <w:r>
              <w:rPr>
                <w:b/>
                <w:bCs/>
                <w:color w:val="FFFFFF" w:themeColor="background1"/>
              </w:rPr>
              <w:t xml:space="preserve"> </w:t>
            </w:r>
            <w:r>
              <w:rPr>
                <w:b/>
                <w:bCs/>
                <w:color w:val="FFFFFF" w:themeColor="background1"/>
                <w:vertAlign w:val="superscript"/>
              </w:rPr>
              <w:t>(a)</w:t>
            </w:r>
          </w:p>
        </w:tc>
        <w:tc>
          <w:tcPr>
            <w:tcW w:w="1560" w:type="dxa"/>
            <w:tcBorders>
              <w:bottom w:val="single" w:sz="4" w:space="0" w:color="auto"/>
            </w:tcBorders>
            <w:shd w:val="clear" w:color="auto" w:fill="1F3864" w:themeFill="accent1" w:themeFillShade="80"/>
            <w:vAlign w:val="center"/>
          </w:tcPr>
          <w:p w14:paraId="6FFE19F1" w14:textId="77777777" w:rsidR="006237E0" w:rsidRPr="0095320D" w:rsidRDefault="006237E0" w:rsidP="000B5F23">
            <w:pPr>
              <w:pStyle w:val="Table"/>
              <w:rPr>
                <w:b/>
                <w:bCs/>
                <w:color w:val="FFFFFF" w:themeColor="background1"/>
                <w:vertAlign w:val="superscript"/>
              </w:rPr>
            </w:pPr>
            <w:r w:rsidRPr="00C86FC3">
              <w:rPr>
                <w:b/>
                <w:bCs/>
                <w:color w:val="FFFFFF" w:themeColor="background1"/>
              </w:rPr>
              <w:t>Domain Alignment</w:t>
            </w:r>
            <w:r>
              <w:rPr>
                <w:b/>
                <w:bCs/>
                <w:color w:val="FFFFFF" w:themeColor="background1"/>
              </w:rPr>
              <w:t xml:space="preserve"> </w:t>
            </w:r>
            <w:r>
              <w:rPr>
                <w:b/>
                <w:bCs/>
                <w:color w:val="FFFFFF" w:themeColor="background1"/>
                <w:vertAlign w:val="superscript"/>
              </w:rPr>
              <w:t>(b)</w:t>
            </w:r>
          </w:p>
        </w:tc>
      </w:tr>
      <w:tr w:rsidR="00BF4840" w:rsidRPr="00BF4840" w14:paraId="3DD70BA8" w14:textId="77777777" w:rsidTr="00126650">
        <w:trPr>
          <w:cantSplit/>
        </w:trPr>
        <w:tc>
          <w:tcPr>
            <w:tcW w:w="14596" w:type="dxa"/>
            <w:gridSpan w:val="6"/>
            <w:tcBorders>
              <w:bottom w:val="nil"/>
            </w:tcBorders>
            <w:shd w:val="clear" w:color="auto" w:fill="2F5496" w:themeFill="accent1" w:themeFillShade="BF"/>
          </w:tcPr>
          <w:p w14:paraId="424DCDA5" w14:textId="63637878" w:rsidR="0095320D" w:rsidRPr="00BF4840" w:rsidRDefault="0095320D" w:rsidP="00164271">
            <w:pPr>
              <w:pStyle w:val="Table"/>
              <w:rPr>
                <w:b/>
                <w:bCs/>
                <w:color w:val="FFFFFF" w:themeColor="background1"/>
              </w:rPr>
            </w:pPr>
            <w:r w:rsidRPr="00BF4840">
              <w:rPr>
                <w:b/>
                <w:bCs/>
                <w:color w:val="FFFFFF" w:themeColor="background1"/>
              </w:rPr>
              <w:t xml:space="preserve">Leadership with Care &amp; Accountability </w:t>
            </w:r>
          </w:p>
        </w:tc>
      </w:tr>
      <w:tr w:rsidR="0095320D" w14:paraId="6E17F846" w14:textId="77777777" w:rsidTr="00126650">
        <w:trPr>
          <w:cantSplit/>
        </w:trPr>
        <w:tc>
          <w:tcPr>
            <w:tcW w:w="700" w:type="dxa"/>
            <w:tcBorders>
              <w:top w:val="nil"/>
            </w:tcBorders>
          </w:tcPr>
          <w:p w14:paraId="0D1074A9" w14:textId="77777777" w:rsidR="0095320D" w:rsidRPr="00BF4840" w:rsidRDefault="0095320D" w:rsidP="000D23FA">
            <w:pPr>
              <w:pStyle w:val="ActivityNo"/>
              <w:rPr>
                <w:sz w:val="19"/>
                <w:szCs w:val="19"/>
              </w:rPr>
            </w:pPr>
          </w:p>
        </w:tc>
        <w:tc>
          <w:tcPr>
            <w:tcW w:w="5816" w:type="dxa"/>
            <w:tcBorders>
              <w:top w:val="nil"/>
            </w:tcBorders>
          </w:tcPr>
          <w:p w14:paraId="4B582301" w14:textId="7D3B5BEA" w:rsidR="0095320D" w:rsidRPr="00BF4840" w:rsidRDefault="0095320D" w:rsidP="00C86FC3">
            <w:pPr>
              <w:pStyle w:val="Table"/>
              <w:rPr>
                <w:sz w:val="19"/>
                <w:szCs w:val="19"/>
              </w:rPr>
            </w:pPr>
            <w:r w:rsidRPr="00BF4840">
              <w:rPr>
                <w:sz w:val="19"/>
                <w:szCs w:val="19"/>
              </w:rPr>
              <w:t>Embed equity, diversity, respect, and inclusion principles into QPS Executive Performance and Development Agreements</w:t>
            </w:r>
            <w:r w:rsidR="00F23C6E">
              <w:rPr>
                <w:sz w:val="19"/>
                <w:szCs w:val="19"/>
              </w:rPr>
              <w:t xml:space="preserve">, to </w:t>
            </w:r>
            <w:r w:rsidR="00F23C6E" w:rsidRPr="00F23C6E">
              <w:rPr>
                <w:sz w:val="19"/>
                <w:szCs w:val="19"/>
              </w:rPr>
              <w:t>strengthen accountability and alignment with QPS belonging and inclusion objectives</w:t>
            </w:r>
          </w:p>
        </w:tc>
        <w:tc>
          <w:tcPr>
            <w:tcW w:w="3685" w:type="dxa"/>
            <w:tcBorders>
              <w:top w:val="nil"/>
            </w:tcBorders>
          </w:tcPr>
          <w:p w14:paraId="0F43AC44" w14:textId="5B2D4656" w:rsidR="0095320D" w:rsidRPr="00BF4840" w:rsidRDefault="00293477" w:rsidP="000D23FA">
            <w:pPr>
              <w:pStyle w:val="Table"/>
              <w:rPr>
                <w:sz w:val="19"/>
                <w:szCs w:val="19"/>
              </w:rPr>
            </w:pPr>
            <w:r>
              <w:rPr>
                <w:sz w:val="19"/>
                <w:szCs w:val="19"/>
              </w:rPr>
              <w:t>CHSUP Domestic Family Violence &amp; Community Engagement Group</w:t>
            </w:r>
          </w:p>
        </w:tc>
        <w:tc>
          <w:tcPr>
            <w:tcW w:w="1418" w:type="dxa"/>
            <w:tcBorders>
              <w:top w:val="nil"/>
            </w:tcBorders>
          </w:tcPr>
          <w:p w14:paraId="32346A72" w14:textId="528DD4D5" w:rsidR="0095320D" w:rsidRPr="00BF4840" w:rsidRDefault="0095320D" w:rsidP="00C86FC3">
            <w:pPr>
              <w:pStyle w:val="Table"/>
              <w:rPr>
                <w:sz w:val="19"/>
                <w:szCs w:val="19"/>
              </w:rPr>
            </w:pPr>
            <w:r w:rsidRPr="00BF4840">
              <w:rPr>
                <w:sz w:val="19"/>
                <w:szCs w:val="19"/>
              </w:rPr>
              <w:t>30/06/2027</w:t>
            </w:r>
          </w:p>
        </w:tc>
        <w:tc>
          <w:tcPr>
            <w:tcW w:w="1417" w:type="dxa"/>
            <w:tcBorders>
              <w:top w:val="nil"/>
            </w:tcBorders>
          </w:tcPr>
          <w:p w14:paraId="1FE464AB" w14:textId="6B0FE197" w:rsidR="0095320D" w:rsidRPr="00BF4840" w:rsidRDefault="0095320D" w:rsidP="00C86FC3">
            <w:pPr>
              <w:pStyle w:val="Table"/>
              <w:rPr>
                <w:sz w:val="19"/>
                <w:szCs w:val="19"/>
              </w:rPr>
            </w:pPr>
            <w:r w:rsidRPr="00BF4840">
              <w:rPr>
                <w:sz w:val="19"/>
                <w:szCs w:val="19"/>
              </w:rPr>
              <w:t>D3, D1, C3</w:t>
            </w:r>
          </w:p>
        </w:tc>
        <w:tc>
          <w:tcPr>
            <w:tcW w:w="1560" w:type="dxa"/>
            <w:tcBorders>
              <w:top w:val="nil"/>
            </w:tcBorders>
          </w:tcPr>
          <w:p w14:paraId="17F6B204" w14:textId="177968C2" w:rsidR="0095320D" w:rsidRPr="00BF4840" w:rsidRDefault="0095320D" w:rsidP="00C86FC3">
            <w:pPr>
              <w:pStyle w:val="Table"/>
              <w:rPr>
                <w:sz w:val="19"/>
                <w:szCs w:val="19"/>
              </w:rPr>
            </w:pPr>
            <w:r w:rsidRPr="00BF4840">
              <w:rPr>
                <w:sz w:val="19"/>
                <w:szCs w:val="19"/>
              </w:rPr>
              <w:t>Performance &amp; Recognition</w:t>
            </w:r>
          </w:p>
        </w:tc>
      </w:tr>
      <w:tr w:rsidR="0095320D" w14:paraId="5D827540" w14:textId="77777777" w:rsidTr="00126650">
        <w:trPr>
          <w:cantSplit/>
        </w:trPr>
        <w:tc>
          <w:tcPr>
            <w:tcW w:w="700" w:type="dxa"/>
          </w:tcPr>
          <w:p w14:paraId="42F75A7E" w14:textId="77777777" w:rsidR="0095320D" w:rsidRPr="00BF4840" w:rsidRDefault="0095320D" w:rsidP="000D23FA">
            <w:pPr>
              <w:pStyle w:val="ActivityNo"/>
              <w:rPr>
                <w:sz w:val="19"/>
                <w:szCs w:val="19"/>
              </w:rPr>
            </w:pPr>
          </w:p>
        </w:tc>
        <w:tc>
          <w:tcPr>
            <w:tcW w:w="5816" w:type="dxa"/>
          </w:tcPr>
          <w:p w14:paraId="2657629A" w14:textId="5F060615" w:rsidR="0095320D" w:rsidRPr="00BF4840" w:rsidRDefault="0095320D" w:rsidP="00C86FC3">
            <w:pPr>
              <w:pStyle w:val="Table"/>
              <w:rPr>
                <w:sz w:val="19"/>
                <w:szCs w:val="19"/>
              </w:rPr>
            </w:pPr>
            <w:r w:rsidRPr="00BF4840">
              <w:rPr>
                <w:sz w:val="19"/>
                <w:szCs w:val="19"/>
              </w:rPr>
              <w:t xml:space="preserve">Develop and implement a communications and engagement strategy to promote and embed the Belonging &amp; Inclusion Framework, fostering awareness, understanding, and </w:t>
            </w:r>
            <w:r w:rsidR="006237E0">
              <w:rPr>
                <w:sz w:val="19"/>
                <w:szCs w:val="19"/>
              </w:rPr>
              <w:t xml:space="preserve">a greater </w:t>
            </w:r>
            <w:r w:rsidRPr="00BF4840">
              <w:rPr>
                <w:sz w:val="19"/>
                <w:szCs w:val="19"/>
              </w:rPr>
              <w:t>commitment to equity, diversity, respect, and inclusion across the QPS</w:t>
            </w:r>
          </w:p>
        </w:tc>
        <w:tc>
          <w:tcPr>
            <w:tcW w:w="3685" w:type="dxa"/>
          </w:tcPr>
          <w:p w14:paraId="016E64B9" w14:textId="02F42505" w:rsidR="0095320D" w:rsidRPr="00BF4840" w:rsidRDefault="0095320D" w:rsidP="000D23FA">
            <w:pPr>
              <w:pStyle w:val="Table"/>
              <w:rPr>
                <w:sz w:val="19"/>
                <w:szCs w:val="19"/>
              </w:rPr>
            </w:pPr>
            <w:r w:rsidRPr="00BF4840">
              <w:rPr>
                <w:sz w:val="19"/>
                <w:szCs w:val="19"/>
              </w:rPr>
              <w:t>ED Policy &amp; Insight Division</w:t>
            </w:r>
          </w:p>
        </w:tc>
        <w:tc>
          <w:tcPr>
            <w:tcW w:w="1418" w:type="dxa"/>
          </w:tcPr>
          <w:p w14:paraId="031AB838" w14:textId="3CD32BD7" w:rsidR="0095320D" w:rsidRPr="00BF4840" w:rsidRDefault="0095320D" w:rsidP="00C86FC3">
            <w:pPr>
              <w:pStyle w:val="Table"/>
              <w:rPr>
                <w:sz w:val="19"/>
                <w:szCs w:val="19"/>
              </w:rPr>
            </w:pPr>
            <w:r w:rsidRPr="00BF4840">
              <w:rPr>
                <w:sz w:val="19"/>
                <w:szCs w:val="19"/>
              </w:rPr>
              <w:t>30/06/2027</w:t>
            </w:r>
          </w:p>
        </w:tc>
        <w:tc>
          <w:tcPr>
            <w:tcW w:w="1417" w:type="dxa"/>
          </w:tcPr>
          <w:p w14:paraId="3319F9DD" w14:textId="3FE788AB" w:rsidR="0095320D" w:rsidRPr="00BF4840" w:rsidRDefault="0095320D" w:rsidP="00C86FC3">
            <w:pPr>
              <w:pStyle w:val="Table"/>
              <w:rPr>
                <w:sz w:val="19"/>
                <w:szCs w:val="19"/>
              </w:rPr>
            </w:pPr>
            <w:r w:rsidRPr="00BF4840">
              <w:rPr>
                <w:sz w:val="19"/>
                <w:szCs w:val="19"/>
              </w:rPr>
              <w:t>D1, B4</w:t>
            </w:r>
          </w:p>
        </w:tc>
        <w:tc>
          <w:tcPr>
            <w:tcW w:w="1560" w:type="dxa"/>
          </w:tcPr>
          <w:p w14:paraId="06935722" w14:textId="57E096F6" w:rsidR="0095320D" w:rsidRPr="00BF4840" w:rsidRDefault="00C71B23" w:rsidP="00C86FC3">
            <w:pPr>
              <w:pStyle w:val="Table"/>
              <w:rPr>
                <w:sz w:val="19"/>
                <w:szCs w:val="19"/>
              </w:rPr>
            </w:pPr>
            <w:r w:rsidRPr="00BF4840">
              <w:rPr>
                <w:sz w:val="19"/>
                <w:szCs w:val="19"/>
              </w:rPr>
              <w:t>Ways of Working &amp; Workspaces</w:t>
            </w:r>
          </w:p>
        </w:tc>
      </w:tr>
      <w:tr w:rsidR="0095320D" w14:paraId="1BF36604" w14:textId="77777777" w:rsidTr="00126650">
        <w:trPr>
          <w:cantSplit/>
        </w:trPr>
        <w:tc>
          <w:tcPr>
            <w:tcW w:w="700" w:type="dxa"/>
          </w:tcPr>
          <w:p w14:paraId="582F762C" w14:textId="77777777" w:rsidR="0095320D" w:rsidRPr="00BF4840" w:rsidRDefault="0095320D" w:rsidP="000D23FA">
            <w:pPr>
              <w:pStyle w:val="ActivityNo"/>
              <w:rPr>
                <w:sz w:val="19"/>
                <w:szCs w:val="19"/>
              </w:rPr>
            </w:pPr>
          </w:p>
        </w:tc>
        <w:tc>
          <w:tcPr>
            <w:tcW w:w="5816" w:type="dxa"/>
          </w:tcPr>
          <w:p w14:paraId="2FD560E9" w14:textId="362AF290" w:rsidR="0095320D" w:rsidRPr="00BF4840" w:rsidRDefault="00C71B23" w:rsidP="00C86FC3">
            <w:pPr>
              <w:pStyle w:val="Table"/>
              <w:rPr>
                <w:sz w:val="19"/>
                <w:szCs w:val="19"/>
              </w:rPr>
            </w:pPr>
            <w:r w:rsidRPr="00BF4840">
              <w:rPr>
                <w:sz w:val="19"/>
                <w:szCs w:val="19"/>
              </w:rPr>
              <w:t>Continue to support the implementation of the QPS Reframing the Relationship Plan, QPS Multicultural Action Plan, QPS Disability Service Plan and associated initiatives as key drivers of equity, diversity, respect, and inclusion across the QPS.</w:t>
            </w:r>
          </w:p>
        </w:tc>
        <w:tc>
          <w:tcPr>
            <w:tcW w:w="3685" w:type="dxa"/>
          </w:tcPr>
          <w:p w14:paraId="6D508502" w14:textId="77777777" w:rsidR="0095320D" w:rsidRPr="00BF4840" w:rsidRDefault="00C71B23" w:rsidP="000D23FA">
            <w:pPr>
              <w:pStyle w:val="Table"/>
              <w:rPr>
                <w:sz w:val="19"/>
                <w:szCs w:val="19"/>
              </w:rPr>
            </w:pPr>
            <w:r w:rsidRPr="00BF4840">
              <w:rPr>
                <w:sz w:val="19"/>
                <w:szCs w:val="19"/>
              </w:rPr>
              <w:t>ED First Nations Division</w:t>
            </w:r>
          </w:p>
          <w:p w14:paraId="53AAE632" w14:textId="72F03498" w:rsidR="00C71B23" w:rsidRPr="00BF4840" w:rsidRDefault="00293477" w:rsidP="000D23FA">
            <w:pPr>
              <w:pStyle w:val="Table"/>
              <w:rPr>
                <w:sz w:val="19"/>
                <w:szCs w:val="19"/>
              </w:rPr>
            </w:pPr>
            <w:r>
              <w:rPr>
                <w:sz w:val="19"/>
                <w:szCs w:val="19"/>
              </w:rPr>
              <w:t xml:space="preserve">CHSUP Domestic Family Violence &amp; Community Engagement Group </w:t>
            </w:r>
          </w:p>
          <w:p w14:paraId="27F385D7" w14:textId="1D2F9783" w:rsidR="00C71B23" w:rsidRPr="00BF4840" w:rsidRDefault="00C71B23" w:rsidP="000D23FA">
            <w:pPr>
              <w:pStyle w:val="Table"/>
              <w:rPr>
                <w:sz w:val="19"/>
                <w:szCs w:val="19"/>
              </w:rPr>
            </w:pPr>
            <w:r w:rsidRPr="00BF4840">
              <w:rPr>
                <w:sz w:val="19"/>
                <w:szCs w:val="19"/>
              </w:rPr>
              <w:t>ED Policy &amp; Insight Division</w:t>
            </w:r>
          </w:p>
        </w:tc>
        <w:tc>
          <w:tcPr>
            <w:tcW w:w="1418" w:type="dxa"/>
          </w:tcPr>
          <w:p w14:paraId="44624F9D" w14:textId="7300EB7C" w:rsidR="0095320D" w:rsidRPr="00BF4840" w:rsidRDefault="00C71B23" w:rsidP="00C86FC3">
            <w:pPr>
              <w:pStyle w:val="Table"/>
              <w:rPr>
                <w:sz w:val="19"/>
                <w:szCs w:val="19"/>
              </w:rPr>
            </w:pPr>
            <w:r w:rsidRPr="00BF4840">
              <w:rPr>
                <w:sz w:val="19"/>
                <w:szCs w:val="19"/>
              </w:rPr>
              <w:t>Ongoing</w:t>
            </w:r>
          </w:p>
        </w:tc>
        <w:tc>
          <w:tcPr>
            <w:tcW w:w="1417" w:type="dxa"/>
          </w:tcPr>
          <w:p w14:paraId="0A9510F5" w14:textId="35F22032" w:rsidR="0095320D" w:rsidRPr="00BF4840" w:rsidRDefault="0002331E" w:rsidP="00C86FC3">
            <w:pPr>
              <w:pStyle w:val="Table"/>
              <w:rPr>
                <w:sz w:val="19"/>
                <w:szCs w:val="19"/>
              </w:rPr>
            </w:pPr>
            <w:r w:rsidRPr="00BF4840">
              <w:rPr>
                <w:sz w:val="19"/>
                <w:szCs w:val="19"/>
              </w:rPr>
              <w:t xml:space="preserve">All Strategies </w:t>
            </w:r>
          </w:p>
        </w:tc>
        <w:tc>
          <w:tcPr>
            <w:tcW w:w="1560" w:type="dxa"/>
          </w:tcPr>
          <w:p w14:paraId="13B82F18" w14:textId="6A959070" w:rsidR="0095320D" w:rsidRPr="00BF4840" w:rsidRDefault="00C71B23" w:rsidP="00C86FC3">
            <w:pPr>
              <w:pStyle w:val="Table"/>
              <w:rPr>
                <w:sz w:val="19"/>
                <w:szCs w:val="19"/>
              </w:rPr>
            </w:pPr>
            <w:r w:rsidRPr="00BF4840">
              <w:rPr>
                <w:sz w:val="19"/>
                <w:szCs w:val="19"/>
              </w:rPr>
              <w:t>All Domains</w:t>
            </w:r>
          </w:p>
        </w:tc>
      </w:tr>
      <w:tr w:rsidR="00C71B23" w14:paraId="0D889B58" w14:textId="77777777" w:rsidTr="00126650">
        <w:trPr>
          <w:cantSplit/>
        </w:trPr>
        <w:tc>
          <w:tcPr>
            <w:tcW w:w="700" w:type="dxa"/>
          </w:tcPr>
          <w:p w14:paraId="6316C386" w14:textId="77777777" w:rsidR="00C71B23" w:rsidRPr="00BF4840" w:rsidRDefault="00C71B23" w:rsidP="000D23FA">
            <w:pPr>
              <w:pStyle w:val="ActivityNo"/>
              <w:rPr>
                <w:sz w:val="19"/>
                <w:szCs w:val="19"/>
              </w:rPr>
            </w:pPr>
          </w:p>
        </w:tc>
        <w:tc>
          <w:tcPr>
            <w:tcW w:w="5816" w:type="dxa"/>
          </w:tcPr>
          <w:p w14:paraId="7B57C6DD" w14:textId="02A11B2A" w:rsidR="00C71B23" w:rsidRPr="00BF4840" w:rsidRDefault="00C71B23" w:rsidP="00C86FC3">
            <w:pPr>
              <w:pStyle w:val="Table"/>
              <w:rPr>
                <w:sz w:val="19"/>
                <w:szCs w:val="19"/>
              </w:rPr>
            </w:pPr>
            <w:r w:rsidRPr="00BF4840">
              <w:rPr>
                <w:sz w:val="19"/>
                <w:szCs w:val="19"/>
              </w:rPr>
              <w:t xml:space="preserve">Embed equity, diversity, respect, and inclusion </w:t>
            </w:r>
            <w:r w:rsidR="006237E0">
              <w:rPr>
                <w:sz w:val="19"/>
                <w:szCs w:val="19"/>
              </w:rPr>
              <w:t>principles</w:t>
            </w:r>
            <w:r w:rsidRPr="00BF4840">
              <w:rPr>
                <w:sz w:val="19"/>
                <w:szCs w:val="19"/>
              </w:rPr>
              <w:t xml:space="preserve"> into the design and delivery of priority initiatives under the 100-Day Review and Transformation Office, ensuring they consider the needs of a diverse and inclusive workforce.</w:t>
            </w:r>
          </w:p>
        </w:tc>
        <w:tc>
          <w:tcPr>
            <w:tcW w:w="3685" w:type="dxa"/>
          </w:tcPr>
          <w:p w14:paraId="13425562" w14:textId="77777777" w:rsidR="00C71B23" w:rsidRPr="00BF4840" w:rsidRDefault="00C71B23" w:rsidP="000D23FA">
            <w:pPr>
              <w:pStyle w:val="Table"/>
              <w:rPr>
                <w:sz w:val="19"/>
                <w:szCs w:val="19"/>
              </w:rPr>
            </w:pPr>
            <w:r w:rsidRPr="00BF4840">
              <w:rPr>
                <w:sz w:val="19"/>
                <w:szCs w:val="19"/>
              </w:rPr>
              <w:t>ED Implementation Program 100-Day Review</w:t>
            </w:r>
          </w:p>
          <w:p w14:paraId="16FE0AD1" w14:textId="688AD2E7" w:rsidR="00C71B23" w:rsidRPr="00BF4840" w:rsidRDefault="00C71B23" w:rsidP="000D23FA">
            <w:pPr>
              <w:pStyle w:val="Table"/>
              <w:rPr>
                <w:sz w:val="19"/>
                <w:szCs w:val="19"/>
              </w:rPr>
            </w:pPr>
            <w:r w:rsidRPr="00BF4840">
              <w:rPr>
                <w:sz w:val="19"/>
                <w:szCs w:val="19"/>
              </w:rPr>
              <w:t xml:space="preserve">ED Transformation </w:t>
            </w:r>
            <w:r w:rsidR="00293477">
              <w:rPr>
                <w:sz w:val="19"/>
                <w:szCs w:val="19"/>
              </w:rPr>
              <w:t xml:space="preserve">Delivery </w:t>
            </w:r>
            <w:r w:rsidRPr="00BF4840">
              <w:rPr>
                <w:sz w:val="19"/>
                <w:szCs w:val="19"/>
              </w:rPr>
              <w:t>Office</w:t>
            </w:r>
          </w:p>
          <w:p w14:paraId="71750EA8" w14:textId="1092250A" w:rsidR="00C71B23" w:rsidRPr="00BF4840" w:rsidRDefault="00C71B23" w:rsidP="000D23FA">
            <w:pPr>
              <w:pStyle w:val="Table"/>
              <w:rPr>
                <w:i/>
                <w:iCs/>
                <w:sz w:val="19"/>
                <w:szCs w:val="19"/>
              </w:rPr>
            </w:pPr>
            <w:r w:rsidRPr="00BF4840">
              <w:rPr>
                <w:i/>
                <w:iCs/>
                <w:sz w:val="19"/>
                <w:szCs w:val="19"/>
              </w:rPr>
              <w:t>implemented by Senior Responsibility Officers / Project Sponsors</w:t>
            </w:r>
          </w:p>
        </w:tc>
        <w:tc>
          <w:tcPr>
            <w:tcW w:w="1418" w:type="dxa"/>
          </w:tcPr>
          <w:p w14:paraId="32C04555" w14:textId="2BBB0088" w:rsidR="00C71B23" w:rsidRPr="00BF4840" w:rsidRDefault="00C71B23" w:rsidP="00C86FC3">
            <w:pPr>
              <w:pStyle w:val="Table"/>
              <w:rPr>
                <w:sz w:val="19"/>
                <w:szCs w:val="19"/>
              </w:rPr>
            </w:pPr>
            <w:r w:rsidRPr="00BF4840">
              <w:rPr>
                <w:sz w:val="19"/>
                <w:szCs w:val="19"/>
              </w:rPr>
              <w:t>30/06/2027</w:t>
            </w:r>
          </w:p>
        </w:tc>
        <w:tc>
          <w:tcPr>
            <w:tcW w:w="1417" w:type="dxa"/>
          </w:tcPr>
          <w:p w14:paraId="1530A2ED" w14:textId="42BDA860" w:rsidR="00C71B23" w:rsidRPr="00BF4840" w:rsidRDefault="0002331E" w:rsidP="00C86FC3">
            <w:pPr>
              <w:pStyle w:val="Table"/>
              <w:rPr>
                <w:sz w:val="19"/>
                <w:szCs w:val="19"/>
              </w:rPr>
            </w:pPr>
            <w:r w:rsidRPr="00BF4840">
              <w:rPr>
                <w:sz w:val="19"/>
                <w:szCs w:val="19"/>
              </w:rPr>
              <w:t>All Strategies</w:t>
            </w:r>
          </w:p>
        </w:tc>
        <w:tc>
          <w:tcPr>
            <w:tcW w:w="1560" w:type="dxa"/>
          </w:tcPr>
          <w:p w14:paraId="05E717CC" w14:textId="2E89AB93" w:rsidR="00C71B23" w:rsidRPr="00BF4840" w:rsidRDefault="00C71B23" w:rsidP="00C86FC3">
            <w:pPr>
              <w:pStyle w:val="Table"/>
              <w:rPr>
                <w:sz w:val="19"/>
                <w:szCs w:val="19"/>
              </w:rPr>
            </w:pPr>
            <w:r w:rsidRPr="00BF4840">
              <w:rPr>
                <w:sz w:val="19"/>
                <w:szCs w:val="19"/>
              </w:rPr>
              <w:t>All Domains</w:t>
            </w:r>
          </w:p>
        </w:tc>
      </w:tr>
      <w:tr w:rsidR="0002331E" w14:paraId="13017B1B" w14:textId="77777777" w:rsidTr="00126650">
        <w:trPr>
          <w:cantSplit/>
        </w:trPr>
        <w:tc>
          <w:tcPr>
            <w:tcW w:w="700" w:type="dxa"/>
          </w:tcPr>
          <w:p w14:paraId="0DF29761" w14:textId="77777777" w:rsidR="0002331E" w:rsidRPr="00BF4840" w:rsidRDefault="0002331E" w:rsidP="000D23FA">
            <w:pPr>
              <w:pStyle w:val="ActivityNo"/>
              <w:rPr>
                <w:sz w:val="19"/>
                <w:szCs w:val="19"/>
              </w:rPr>
            </w:pPr>
          </w:p>
        </w:tc>
        <w:tc>
          <w:tcPr>
            <w:tcW w:w="5816" w:type="dxa"/>
          </w:tcPr>
          <w:p w14:paraId="2EA62B0C" w14:textId="26CE698E" w:rsidR="0002331E" w:rsidRPr="00BF4840" w:rsidRDefault="00293477" w:rsidP="00C86FC3">
            <w:pPr>
              <w:pStyle w:val="Table"/>
              <w:rPr>
                <w:sz w:val="19"/>
                <w:szCs w:val="19"/>
              </w:rPr>
            </w:pPr>
            <w:r>
              <w:rPr>
                <w:sz w:val="19"/>
                <w:szCs w:val="19"/>
              </w:rPr>
              <w:t>Monitor progress against</w:t>
            </w:r>
            <w:r w:rsidR="0002331E" w:rsidRPr="00BF4840">
              <w:rPr>
                <w:sz w:val="19"/>
                <w:szCs w:val="19"/>
              </w:rPr>
              <w:t xml:space="preserve"> the </w:t>
            </w:r>
            <w:r>
              <w:rPr>
                <w:sz w:val="19"/>
                <w:szCs w:val="19"/>
              </w:rPr>
              <w:t xml:space="preserve">recommendations from the </w:t>
            </w:r>
            <w:r w:rsidR="0002331E" w:rsidRPr="00BF4840">
              <w:rPr>
                <w:sz w:val="19"/>
                <w:szCs w:val="19"/>
              </w:rPr>
              <w:t>Q</w:t>
            </w:r>
            <w:r>
              <w:rPr>
                <w:sz w:val="19"/>
                <w:szCs w:val="19"/>
              </w:rPr>
              <w:t xml:space="preserve">ueensland </w:t>
            </w:r>
            <w:r w:rsidR="0002331E" w:rsidRPr="00BF4840">
              <w:rPr>
                <w:sz w:val="19"/>
                <w:szCs w:val="19"/>
              </w:rPr>
              <w:t>H</w:t>
            </w:r>
            <w:r>
              <w:rPr>
                <w:sz w:val="19"/>
                <w:szCs w:val="19"/>
              </w:rPr>
              <w:t xml:space="preserve">uman </w:t>
            </w:r>
            <w:r w:rsidR="0002331E" w:rsidRPr="00BF4840">
              <w:rPr>
                <w:sz w:val="19"/>
                <w:szCs w:val="19"/>
              </w:rPr>
              <w:t>R</w:t>
            </w:r>
            <w:r>
              <w:rPr>
                <w:sz w:val="19"/>
                <w:szCs w:val="19"/>
              </w:rPr>
              <w:t xml:space="preserve">ights </w:t>
            </w:r>
            <w:r w:rsidR="0002331E" w:rsidRPr="00BF4840">
              <w:rPr>
                <w:sz w:val="19"/>
                <w:szCs w:val="19"/>
              </w:rPr>
              <w:t>C</w:t>
            </w:r>
            <w:r>
              <w:rPr>
                <w:sz w:val="19"/>
                <w:szCs w:val="19"/>
              </w:rPr>
              <w:t>ommission</w:t>
            </w:r>
            <w:r w:rsidR="0002331E" w:rsidRPr="00BF4840">
              <w:rPr>
                <w:sz w:val="19"/>
                <w:szCs w:val="19"/>
              </w:rPr>
              <w:t xml:space="preserve"> </w:t>
            </w:r>
            <w:r>
              <w:rPr>
                <w:sz w:val="19"/>
                <w:szCs w:val="19"/>
              </w:rPr>
              <w:t xml:space="preserve">report on workplace equality in the QPS. </w:t>
            </w:r>
            <w:r w:rsidR="0002331E" w:rsidRPr="00BF4840">
              <w:rPr>
                <w:sz w:val="19"/>
                <w:szCs w:val="19"/>
              </w:rPr>
              <w:t xml:space="preserve"> </w:t>
            </w:r>
          </w:p>
        </w:tc>
        <w:tc>
          <w:tcPr>
            <w:tcW w:w="3685" w:type="dxa"/>
          </w:tcPr>
          <w:p w14:paraId="37CE37C9" w14:textId="57B424A2" w:rsidR="0002331E" w:rsidRPr="00BF4840" w:rsidRDefault="0002331E" w:rsidP="000D23FA">
            <w:pPr>
              <w:pStyle w:val="Table"/>
              <w:rPr>
                <w:sz w:val="19"/>
                <w:szCs w:val="19"/>
              </w:rPr>
            </w:pPr>
            <w:r w:rsidRPr="00BF4840">
              <w:rPr>
                <w:sz w:val="19"/>
                <w:szCs w:val="19"/>
              </w:rPr>
              <w:t xml:space="preserve">ED </w:t>
            </w:r>
            <w:r w:rsidR="00293477">
              <w:rPr>
                <w:sz w:val="19"/>
                <w:szCs w:val="19"/>
              </w:rPr>
              <w:t>Workforce Management &amp; Wellbeing Division</w:t>
            </w:r>
          </w:p>
        </w:tc>
        <w:tc>
          <w:tcPr>
            <w:tcW w:w="1418" w:type="dxa"/>
          </w:tcPr>
          <w:p w14:paraId="7D3EFE58" w14:textId="02D6922F" w:rsidR="0002331E" w:rsidRPr="00BF4840" w:rsidRDefault="0002331E" w:rsidP="00C86FC3">
            <w:pPr>
              <w:pStyle w:val="Table"/>
              <w:rPr>
                <w:sz w:val="19"/>
                <w:szCs w:val="19"/>
              </w:rPr>
            </w:pPr>
            <w:r w:rsidRPr="00BF4840">
              <w:rPr>
                <w:sz w:val="19"/>
                <w:szCs w:val="19"/>
              </w:rPr>
              <w:t>30/06/2027</w:t>
            </w:r>
          </w:p>
        </w:tc>
        <w:tc>
          <w:tcPr>
            <w:tcW w:w="1417" w:type="dxa"/>
          </w:tcPr>
          <w:p w14:paraId="74B07E7C" w14:textId="5FA7E0ED" w:rsidR="0002331E" w:rsidRPr="00BF4840" w:rsidRDefault="0002331E" w:rsidP="00C86FC3">
            <w:pPr>
              <w:pStyle w:val="Table"/>
              <w:rPr>
                <w:sz w:val="19"/>
                <w:szCs w:val="19"/>
              </w:rPr>
            </w:pPr>
            <w:r w:rsidRPr="00BF4840">
              <w:rPr>
                <w:sz w:val="19"/>
                <w:szCs w:val="19"/>
              </w:rPr>
              <w:t xml:space="preserve">All Strategies </w:t>
            </w:r>
          </w:p>
        </w:tc>
        <w:tc>
          <w:tcPr>
            <w:tcW w:w="1560" w:type="dxa"/>
          </w:tcPr>
          <w:p w14:paraId="31F15974" w14:textId="615D76D4" w:rsidR="0002331E" w:rsidRPr="00BF4840" w:rsidRDefault="0002331E" w:rsidP="00C86FC3">
            <w:pPr>
              <w:pStyle w:val="Table"/>
              <w:rPr>
                <w:sz w:val="19"/>
                <w:szCs w:val="19"/>
              </w:rPr>
            </w:pPr>
            <w:r w:rsidRPr="00BF4840">
              <w:rPr>
                <w:sz w:val="19"/>
                <w:szCs w:val="19"/>
              </w:rPr>
              <w:t>All Domains</w:t>
            </w:r>
          </w:p>
        </w:tc>
      </w:tr>
      <w:tr w:rsidR="00C71B23" w:rsidRPr="00BF4840" w14:paraId="70348C61" w14:textId="77777777" w:rsidTr="00126650">
        <w:trPr>
          <w:cantSplit/>
        </w:trPr>
        <w:tc>
          <w:tcPr>
            <w:tcW w:w="14596" w:type="dxa"/>
            <w:gridSpan w:val="6"/>
          </w:tcPr>
          <w:p w14:paraId="5ACBF290" w14:textId="5A42DA38" w:rsidR="00C71B23" w:rsidRPr="00BF4840" w:rsidRDefault="00C71B23" w:rsidP="00C71B23">
            <w:pPr>
              <w:pStyle w:val="Table"/>
              <w:rPr>
                <w:sz w:val="19"/>
                <w:szCs w:val="19"/>
              </w:rPr>
            </w:pPr>
            <w:r w:rsidRPr="00BF4840">
              <w:rPr>
                <w:sz w:val="19"/>
                <w:szCs w:val="19"/>
              </w:rPr>
              <w:t>(a) Alignment with Belonging &amp; Inclusion Strategies as detailed the Belonging &amp; Inclusion Plan 2026-2030.</w:t>
            </w:r>
          </w:p>
          <w:p w14:paraId="6178BE97" w14:textId="77613362" w:rsidR="00C71B23" w:rsidRPr="00BF4840" w:rsidRDefault="00C71B23" w:rsidP="00C71B23">
            <w:pPr>
              <w:pStyle w:val="Table"/>
              <w:rPr>
                <w:sz w:val="19"/>
                <w:szCs w:val="19"/>
              </w:rPr>
            </w:pPr>
            <w:r w:rsidRPr="00BF4840">
              <w:rPr>
                <w:sz w:val="19"/>
                <w:szCs w:val="19"/>
              </w:rPr>
              <w:t xml:space="preserve">(b) </w:t>
            </w:r>
            <w:r w:rsidR="00296B36" w:rsidRPr="00BF4840">
              <w:rPr>
                <w:sz w:val="19"/>
                <w:szCs w:val="19"/>
              </w:rPr>
              <w:t>Priority alignments</w:t>
            </w:r>
            <w:r w:rsidRPr="00BF4840">
              <w:rPr>
                <w:sz w:val="19"/>
                <w:szCs w:val="19"/>
              </w:rPr>
              <w:t xml:space="preserve"> with Belonging &amp; Inclusion Domains as detailed in the Belonging &amp; Inclusion Framework. </w:t>
            </w:r>
          </w:p>
        </w:tc>
      </w:tr>
    </w:tbl>
    <w:p w14:paraId="052E2E7A" w14:textId="77777777" w:rsidR="00307C0A" w:rsidRDefault="00307C0A"/>
    <w:sectPr w:rsidR="00307C0A" w:rsidSect="00126650">
      <w:headerReference w:type="first" r:id="rId24"/>
      <w:pgSz w:w="16820" w:h="11900" w:orient="landscape"/>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5D657" w14:textId="77777777" w:rsidR="001B44BC" w:rsidRDefault="001B44BC" w:rsidP="00E90617">
      <w:pPr>
        <w:spacing w:after="0" w:line="240" w:lineRule="auto"/>
      </w:pPr>
      <w:r>
        <w:separator/>
      </w:r>
    </w:p>
  </w:endnote>
  <w:endnote w:type="continuationSeparator" w:id="0">
    <w:p w14:paraId="49DB333C" w14:textId="77777777" w:rsidR="001B44BC" w:rsidRDefault="001B44BC" w:rsidP="00E9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6E2F" w14:textId="1E10579D" w:rsidR="00E81EE9" w:rsidRPr="00034ECA" w:rsidRDefault="002A33C5" w:rsidP="001A004B">
    <w:pPr>
      <w:pBdr>
        <w:top w:val="single" w:sz="4" w:space="1" w:color="1F4E79" w:themeColor="accent5" w:themeShade="80"/>
      </w:pBdr>
      <w:tabs>
        <w:tab w:val="right" w:pos="9180"/>
        <w:tab w:val="right" w:pos="14459"/>
      </w:tabs>
      <w:rPr>
        <w:rFonts w:eastAsia="MS Mincho"/>
        <w:color w:val="44546A" w:themeColor="text2"/>
        <w:sz w:val="18"/>
        <w:szCs w:val="18"/>
        <w:lang w:val="en-US"/>
      </w:rPr>
    </w:pPr>
    <w:r w:rsidRPr="00BF4840">
      <w:rPr>
        <w:rFonts w:eastAsia="MS Mincho"/>
        <w:b/>
        <w:bCs/>
        <w:color w:val="44546A" w:themeColor="text2"/>
        <w:sz w:val="18"/>
        <w:szCs w:val="18"/>
        <w:lang w:val="en-US"/>
      </w:rPr>
      <w:t>Queensland Police Servic</w:t>
    </w:r>
    <w:r w:rsidR="00BF4840" w:rsidRPr="00BF4840">
      <w:rPr>
        <w:rFonts w:eastAsia="MS Mincho"/>
        <w:b/>
        <w:bCs/>
        <w:color w:val="44546A" w:themeColor="text2"/>
        <w:sz w:val="18"/>
        <w:szCs w:val="18"/>
        <w:lang w:val="en-US"/>
      </w:rPr>
      <w:t>e</w:t>
    </w:r>
    <w:r w:rsidR="00BF4840">
      <w:rPr>
        <w:rFonts w:eastAsia="MS Mincho"/>
        <w:color w:val="44546A" w:themeColor="text2"/>
        <w:sz w:val="18"/>
        <w:szCs w:val="18"/>
        <w:lang w:val="en-US"/>
      </w:rPr>
      <w:t xml:space="preserve"> | Belonging &amp; Inclusion Action Plan 2026-2027</w:t>
    </w:r>
    <w:r w:rsidRPr="00034ECA">
      <w:rPr>
        <w:rFonts w:eastAsia="MS Mincho"/>
        <w:color w:val="44546A" w:themeColor="text2"/>
        <w:sz w:val="18"/>
        <w:szCs w:val="18"/>
        <w:lang w:val="en-US"/>
      </w:rPr>
      <w:tab/>
    </w:r>
    <w:r w:rsidRPr="00034ECA">
      <w:rPr>
        <w:rFonts w:eastAsia="MS Mincho"/>
        <w:color w:val="44546A" w:themeColor="text2"/>
        <w:sz w:val="18"/>
        <w:szCs w:val="18"/>
        <w:lang w:val="en-US"/>
      </w:rPr>
      <w:tab/>
      <w:t xml:space="preserve">Page </w:t>
    </w:r>
    <w:r w:rsidRPr="00034ECA">
      <w:rPr>
        <w:rFonts w:eastAsia="MS Mincho"/>
        <w:b/>
        <w:bCs/>
        <w:color w:val="44546A" w:themeColor="text2"/>
        <w:sz w:val="18"/>
        <w:szCs w:val="18"/>
        <w:lang w:val="en-US"/>
      </w:rPr>
      <w:fldChar w:fldCharType="begin"/>
    </w:r>
    <w:r w:rsidRPr="00034ECA">
      <w:rPr>
        <w:rFonts w:eastAsia="MS Mincho"/>
        <w:b/>
        <w:bCs/>
        <w:color w:val="44546A" w:themeColor="text2"/>
        <w:sz w:val="18"/>
        <w:szCs w:val="18"/>
        <w:lang w:val="en-US"/>
      </w:rPr>
      <w:instrText xml:space="preserve"> PAGE  \* Arabic  \* MERGEFORMAT </w:instrText>
    </w:r>
    <w:r w:rsidRPr="00034ECA">
      <w:rPr>
        <w:rFonts w:eastAsia="MS Mincho"/>
        <w:b/>
        <w:bCs/>
        <w:color w:val="44546A" w:themeColor="text2"/>
        <w:sz w:val="18"/>
        <w:szCs w:val="18"/>
        <w:lang w:val="en-US"/>
      </w:rPr>
      <w:fldChar w:fldCharType="separate"/>
    </w:r>
    <w:r w:rsidRPr="00034ECA">
      <w:rPr>
        <w:rFonts w:eastAsia="MS Mincho"/>
        <w:b/>
        <w:bCs/>
        <w:noProof/>
        <w:color w:val="44546A" w:themeColor="text2"/>
        <w:sz w:val="18"/>
        <w:szCs w:val="18"/>
        <w:lang w:val="en-US"/>
      </w:rPr>
      <w:t>3</w:t>
    </w:r>
    <w:r w:rsidRPr="00034ECA">
      <w:rPr>
        <w:rFonts w:eastAsia="MS Mincho"/>
        <w:b/>
        <w:bCs/>
        <w:color w:val="44546A" w:themeColor="text2"/>
        <w:sz w:val="18"/>
        <w:szCs w:val="18"/>
        <w:lang w:val="en-US"/>
      </w:rPr>
      <w:fldChar w:fldCharType="end"/>
    </w:r>
    <w:r w:rsidRPr="00034ECA">
      <w:rPr>
        <w:rFonts w:eastAsia="MS Mincho"/>
        <w:color w:val="44546A" w:themeColor="text2"/>
        <w:sz w:val="18"/>
        <w:szCs w:val="18"/>
        <w:lang w:val="en-US"/>
      </w:rPr>
      <w:t xml:space="preserve"> of </w:t>
    </w:r>
    <w:r w:rsidRPr="00034ECA">
      <w:rPr>
        <w:rFonts w:eastAsia="MS Mincho"/>
        <w:b/>
        <w:bCs/>
        <w:color w:val="44546A" w:themeColor="text2"/>
        <w:sz w:val="18"/>
        <w:szCs w:val="18"/>
        <w:lang w:val="en-US"/>
      </w:rPr>
      <w:fldChar w:fldCharType="begin"/>
    </w:r>
    <w:r w:rsidRPr="00034ECA">
      <w:rPr>
        <w:rFonts w:eastAsia="MS Mincho"/>
        <w:b/>
        <w:bCs/>
        <w:color w:val="44546A" w:themeColor="text2"/>
        <w:sz w:val="18"/>
        <w:szCs w:val="18"/>
        <w:lang w:val="en-US"/>
      </w:rPr>
      <w:instrText xml:space="preserve"> NUMPAGES  \* Arabic  \* MERGEFORMAT </w:instrText>
    </w:r>
    <w:r w:rsidRPr="00034ECA">
      <w:rPr>
        <w:rFonts w:eastAsia="MS Mincho"/>
        <w:b/>
        <w:bCs/>
        <w:color w:val="44546A" w:themeColor="text2"/>
        <w:sz w:val="18"/>
        <w:szCs w:val="18"/>
        <w:lang w:val="en-US"/>
      </w:rPr>
      <w:fldChar w:fldCharType="separate"/>
    </w:r>
    <w:r w:rsidRPr="00034ECA">
      <w:rPr>
        <w:rFonts w:eastAsia="MS Mincho"/>
        <w:b/>
        <w:bCs/>
        <w:noProof/>
        <w:color w:val="44546A" w:themeColor="text2"/>
        <w:sz w:val="18"/>
        <w:szCs w:val="18"/>
        <w:lang w:val="en-US"/>
      </w:rPr>
      <w:t>4</w:t>
    </w:r>
    <w:r w:rsidRPr="00034ECA">
      <w:rPr>
        <w:rFonts w:eastAsia="MS Mincho"/>
        <w:b/>
        <w:bCs/>
        <w:color w:val="44546A" w:themeColor="text2"/>
        <w:sz w:val="18"/>
        <w:szCs w:val="18"/>
        <w:lang w:val="en-US"/>
      </w:rPr>
      <w:fldChar w:fldCharType="end"/>
    </w:r>
  </w:p>
  <w:p w14:paraId="708BCB8D" w14:textId="77777777" w:rsidR="00E81EE9" w:rsidRPr="00BB5151" w:rsidRDefault="00E81EE9" w:rsidP="00BB5151">
    <w:pPr>
      <w:pStyle w:val="Footer"/>
      <w:tabs>
        <w:tab w:val="right" w:pos="9540"/>
      </w:tabs>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08B8" w14:textId="77777777" w:rsidR="001B44BC" w:rsidRDefault="001B44BC" w:rsidP="00E90617">
      <w:pPr>
        <w:spacing w:after="0" w:line="240" w:lineRule="auto"/>
      </w:pPr>
      <w:r>
        <w:separator/>
      </w:r>
    </w:p>
  </w:footnote>
  <w:footnote w:type="continuationSeparator" w:id="0">
    <w:p w14:paraId="4353E52D" w14:textId="77777777" w:rsidR="001B44BC" w:rsidRDefault="001B44BC" w:rsidP="00E90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D8D3" w14:textId="7D8AAB1E" w:rsidR="00E81EE9" w:rsidRDefault="00E81EE9">
    <w:pPr>
      <w:pStyle w:val="Header"/>
    </w:pPr>
  </w:p>
  <w:p w14:paraId="74A8C04F" w14:textId="77777777" w:rsidR="00E81EE9" w:rsidRDefault="00E81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6518" w14:textId="5AFB80D7" w:rsidR="00E81EE9" w:rsidRDefault="002A33C5">
    <w:pPr>
      <w:pStyle w:val="Header"/>
    </w:pPr>
    <w:r w:rsidRPr="00B44B97">
      <w:rPr>
        <w:b/>
        <w:noProof/>
        <w:lang w:eastAsia="en-AU"/>
      </w:rPr>
      <w:drawing>
        <wp:anchor distT="0" distB="0" distL="114300" distR="114300" simplePos="0" relativeHeight="251660288" behindDoc="0" locked="0" layoutInCell="1" allowOverlap="1" wp14:anchorId="20BFB445" wp14:editId="713C4813">
          <wp:simplePos x="0" y="0"/>
          <wp:positionH relativeFrom="page">
            <wp:posOffset>-18855</wp:posOffset>
          </wp:positionH>
          <wp:positionV relativeFrom="paragraph">
            <wp:posOffset>0</wp:posOffset>
          </wp:positionV>
          <wp:extent cx="10718277" cy="7543800"/>
          <wp:effectExtent l="0" t="0" r="6985" b="0"/>
          <wp:wrapNone/>
          <wp:docPr id="1381587366" name="Picture 1381587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87366" name="Picture 138158736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718963" cy="7544283"/>
                  </a:xfrm>
                  <a:prstGeom prst="rect">
                    <a:avLst/>
                  </a:prstGeom>
                </pic:spPr>
              </pic:pic>
            </a:graphicData>
          </a:graphic>
          <wp14:sizeRelH relativeFrom="page">
            <wp14:pctWidth>0</wp14:pctWidth>
          </wp14:sizeRelH>
          <wp14:sizeRelV relativeFrom="page">
            <wp14:pctHeight>0</wp14:pctHeight>
          </wp14:sizeRelV>
        </wp:anchor>
      </w:drawing>
    </w:r>
  </w:p>
  <w:p w14:paraId="0EB3F87A" w14:textId="77777777" w:rsidR="00E81EE9" w:rsidRDefault="00E81E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D8C3" w14:textId="1C78A26A" w:rsidR="001A004B" w:rsidRDefault="001A004B">
    <w:pPr>
      <w:pStyle w:val="Header"/>
    </w:pPr>
    <w:r w:rsidRPr="00B44B97">
      <w:rPr>
        <w:b/>
        <w:noProof/>
        <w:lang w:eastAsia="en-AU"/>
      </w:rPr>
      <w:drawing>
        <wp:anchor distT="0" distB="0" distL="114300" distR="114300" simplePos="0" relativeHeight="251668480" behindDoc="0" locked="0" layoutInCell="1" allowOverlap="1" wp14:anchorId="7E69F2CD" wp14:editId="30A5F3C5">
          <wp:simplePos x="0" y="0"/>
          <wp:positionH relativeFrom="page">
            <wp:posOffset>-15766</wp:posOffset>
          </wp:positionH>
          <wp:positionV relativeFrom="paragraph">
            <wp:posOffset>1521</wp:posOffset>
          </wp:positionV>
          <wp:extent cx="10671399" cy="7544204"/>
          <wp:effectExtent l="0" t="0" r="0" b="0"/>
          <wp:wrapNone/>
          <wp:docPr id="2022415666" name="Picture 20224156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430884" name="Picture 180843088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1399" cy="7544204"/>
                  </a:xfrm>
                  <a:prstGeom prst="rect">
                    <a:avLst/>
                  </a:prstGeom>
                </pic:spPr>
              </pic:pic>
            </a:graphicData>
          </a:graphic>
          <wp14:sizeRelH relativeFrom="page">
            <wp14:pctWidth>0</wp14:pctWidth>
          </wp14:sizeRelH>
          <wp14:sizeRelV relativeFrom="page">
            <wp14:pctHeight>0</wp14:pctHeight>
          </wp14:sizeRelV>
        </wp:anchor>
      </w:drawing>
    </w:r>
  </w:p>
  <w:p w14:paraId="44B56DC2" w14:textId="77777777" w:rsidR="001A004B" w:rsidRDefault="001A0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6EF"/>
    <w:multiLevelType w:val="hybridMultilevel"/>
    <w:tmpl w:val="BF4A0D7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29CA6F6C"/>
    <w:multiLevelType w:val="hybridMultilevel"/>
    <w:tmpl w:val="16DEB002"/>
    <w:lvl w:ilvl="0" w:tplc="0C090001">
      <w:start w:val="1"/>
      <w:numFmt w:val="bullet"/>
      <w:pStyle w:val="AADotPoint1-Italic"/>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CF66769"/>
    <w:multiLevelType w:val="multilevel"/>
    <w:tmpl w:val="E58820DE"/>
    <w:lvl w:ilvl="0">
      <w:start w:val="1"/>
      <w:numFmt w:val="decimalZero"/>
      <w:pStyle w:val="ActivityNo"/>
      <w:lvlText w:val="BI%1"/>
      <w:lvlJc w:val="left"/>
      <w:pPr>
        <w:ind w:left="0" w:firstLine="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88356DA"/>
    <w:multiLevelType w:val="hybridMultilevel"/>
    <w:tmpl w:val="D3A28202"/>
    <w:lvl w:ilvl="0" w:tplc="E82EF306">
      <w:start w:val="1"/>
      <w:numFmt w:val="bullet"/>
      <w:pStyle w:val="AADotPoint1"/>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CC41C6"/>
    <w:multiLevelType w:val="hybridMultilevel"/>
    <w:tmpl w:val="00D68F9C"/>
    <w:lvl w:ilvl="0" w:tplc="A3962770">
      <w:start w:val="1"/>
      <w:numFmt w:val="decimal"/>
      <w:lvlText w:val="BI%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3774054">
    <w:abstractNumId w:val="0"/>
  </w:num>
  <w:num w:numId="2" w16cid:durableId="1005784039">
    <w:abstractNumId w:val="3"/>
  </w:num>
  <w:num w:numId="3" w16cid:durableId="1583761410">
    <w:abstractNumId w:val="1"/>
  </w:num>
  <w:num w:numId="4" w16cid:durableId="1076248572">
    <w:abstractNumId w:val="4"/>
  </w:num>
  <w:num w:numId="5" w16cid:durableId="835995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pK9cvLphffUwKQ4p3XrwxXZnFXd8qkWlpWrGdGjErPGKr5bmDinWAoA/MNRzKEqx8Xx4MsFqpq2q7aIBME6vqQ==" w:salt="+SQD+Yqzlc+kaw3YXzub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8D"/>
    <w:rsid w:val="00007D47"/>
    <w:rsid w:val="0001355E"/>
    <w:rsid w:val="0002331E"/>
    <w:rsid w:val="00062270"/>
    <w:rsid w:val="0007183D"/>
    <w:rsid w:val="00092C7D"/>
    <w:rsid w:val="000D23FA"/>
    <w:rsid w:val="00126650"/>
    <w:rsid w:val="00142E61"/>
    <w:rsid w:val="0016588A"/>
    <w:rsid w:val="001A004B"/>
    <w:rsid w:val="001B44BC"/>
    <w:rsid w:val="001C11F7"/>
    <w:rsid w:val="001F23DD"/>
    <w:rsid w:val="00293477"/>
    <w:rsid w:val="00296B36"/>
    <w:rsid w:val="002A33C5"/>
    <w:rsid w:val="002B20DF"/>
    <w:rsid w:val="002E4E99"/>
    <w:rsid w:val="00307C0A"/>
    <w:rsid w:val="003428C4"/>
    <w:rsid w:val="0038329A"/>
    <w:rsid w:val="003C780C"/>
    <w:rsid w:val="00417867"/>
    <w:rsid w:val="0042787E"/>
    <w:rsid w:val="00437BFE"/>
    <w:rsid w:val="004B174A"/>
    <w:rsid w:val="0051161F"/>
    <w:rsid w:val="0054648F"/>
    <w:rsid w:val="00573013"/>
    <w:rsid w:val="005976F2"/>
    <w:rsid w:val="005A037B"/>
    <w:rsid w:val="005A1D9C"/>
    <w:rsid w:val="005C3EFE"/>
    <w:rsid w:val="005E0220"/>
    <w:rsid w:val="006237E0"/>
    <w:rsid w:val="00690E3C"/>
    <w:rsid w:val="006A7FFD"/>
    <w:rsid w:val="006C6E76"/>
    <w:rsid w:val="00777062"/>
    <w:rsid w:val="007C4DEA"/>
    <w:rsid w:val="00833A82"/>
    <w:rsid w:val="00833FF1"/>
    <w:rsid w:val="00855661"/>
    <w:rsid w:val="008B4C5C"/>
    <w:rsid w:val="008C1A8D"/>
    <w:rsid w:val="0095320D"/>
    <w:rsid w:val="009B7252"/>
    <w:rsid w:val="00A01BE4"/>
    <w:rsid w:val="00A10979"/>
    <w:rsid w:val="00AC14C5"/>
    <w:rsid w:val="00AC69C6"/>
    <w:rsid w:val="00AF1E1D"/>
    <w:rsid w:val="00B3588E"/>
    <w:rsid w:val="00B47749"/>
    <w:rsid w:val="00B63037"/>
    <w:rsid w:val="00B7019E"/>
    <w:rsid w:val="00BA5AFA"/>
    <w:rsid w:val="00BF4840"/>
    <w:rsid w:val="00C334C1"/>
    <w:rsid w:val="00C37AC7"/>
    <w:rsid w:val="00C5113F"/>
    <w:rsid w:val="00C71B23"/>
    <w:rsid w:val="00C7391F"/>
    <w:rsid w:val="00C86FC3"/>
    <w:rsid w:val="00CB59F2"/>
    <w:rsid w:val="00CD171A"/>
    <w:rsid w:val="00D4170A"/>
    <w:rsid w:val="00D824DB"/>
    <w:rsid w:val="00DA0B3F"/>
    <w:rsid w:val="00DB42C5"/>
    <w:rsid w:val="00DB6818"/>
    <w:rsid w:val="00DD721F"/>
    <w:rsid w:val="00DE388C"/>
    <w:rsid w:val="00E81EE9"/>
    <w:rsid w:val="00E83849"/>
    <w:rsid w:val="00E90617"/>
    <w:rsid w:val="00E9529B"/>
    <w:rsid w:val="00EF070F"/>
    <w:rsid w:val="00F23C6E"/>
    <w:rsid w:val="00F42F79"/>
    <w:rsid w:val="00F76492"/>
    <w:rsid w:val="00FE58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A3B6"/>
  <w15:chartTrackingRefBased/>
  <w15:docId w15:val="{84B38727-C044-4088-BFE3-07EA8510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4B"/>
    <w:pPr>
      <w:spacing w:before="160"/>
    </w:pPr>
    <w:rPr>
      <w:rFonts w:ascii="Arial" w:hAnsi="Arial"/>
    </w:rPr>
  </w:style>
  <w:style w:type="paragraph" w:styleId="Heading1">
    <w:name w:val="heading 1"/>
    <w:basedOn w:val="Normal"/>
    <w:next w:val="Normal"/>
    <w:link w:val="Heading1Char"/>
    <w:qFormat/>
    <w:rsid w:val="00BF4840"/>
    <w:pPr>
      <w:keepNext/>
      <w:spacing w:before="240" w:after="60" w:line="240" w:lineRule="auto"/>
      <w:outlineLvl w:val="0"/>
    </w:pPr>
    <w:rPr>
      <w:rFonts w:eastAsia="Times New Roman" w:cs="Arial"/>
      <w:b/>
      <w:bCs/>
      <w:color w:val="1F3864" w:themeColor="accent1" w:themeShade="80"/>
      <w:kern w:val="32"/>
      <w:sz w:val="32"/>
      <w:szCs w:val="32"/>
      <w:lang w:eastAsia="en-AU"/>
    </w:rPr>
  </w:style>
  <w:style w:type="paragraph" w:styleId="Heading2">
    <w:name w:val="heading 2"/>
    <w:basedOn w:val="Normal"/>
    <w:next w:val="Normal"/>
    <w:link w:val="Heading2Char"/>
    <w:uiPriority w:val="9"/>
    <w:unhideWhenUsed/>
    <w:qFormat/>
    <w:rsid w:val="00307C0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color w:val="4C2EFE"/>
      <w:spacing w:val="15"/>
      <w:sz w:val="20"/>
      <w:szCs w:val="20"/>
    </w:rPr>
  </w:style>
  <w:style w:type="paragraph" w:styleId="Heading3">
    <w:name w:val="heading 3"/>
    <w:basedOn w:val="Normal"/>
    <w:next w:val="Normal"/>
    <w:link w:val="Heading3Char"/>
    <w:uiPriority w:val="9"/>
    <w:unhideWhenUsed/>
    <w:qFormat/>
    <w:rsid w:val="00307C0A"/>
    <w:pPr>
      <w:pBdr>
        <w:top w:val="single" w:sz="6" w:space="2" w:color="4472C4" w:themeColor="accent1"/>
      </w:pBdr>
      <w:spacing w:before="300" w:after="0" w:line="276" w:lineRule="auto"/>
      <w:outlineLvl w:val="2"/>
    </w:pPr>
    <w:rPr>
      <w:rFonts w:eastAsiaTheme="minorEastAsia"/>
      <w:caps/>
      <w:color w:val="1F3763" w:themeColor="accent1" w:themeShade="7F"/>
      <w:spacing w:val="15"/>
      <w:sz w:val="20"/>
      <w:szCs w:val="20"/>
    </w:rPr>
  </w:style>
  <w:style w:type="paragraph" w:styleId="Heading4">
    <w:name w:val="heading 4"/>
    <w:basedOn w:val="Normal"/>
    <w:next w:val="Normal"/>
    <w:link w:val="Heading4Char"/>
    <w:uiPriority w:val="9"/>
    <w:unhideWhenUsed/>
    <w:qFormat/>
    <w:rsid w:val="00307C0A"/>
    <w:pPr>
      <w:keepNext/>
      <w:keepLines/>
      <w:spacing w:before="40" w:after="0" w:line="276" w:lineRule="auto"/>
      <w:outlineLvl w:val="3"/>
    </w:pPr>
    <w:rPr>
      <w:rFonts w:asciiTheme="majorHAnsi" w:eastAsiaTheme="majorEastAsia" w:hAnsiTheme="majorHAnsi" w:cstheme="majorBidi"/>
      <w:i/>
      <w:iCs/>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840"/>
    <w:rPr>
      <w:rFonts w:ascii="Arial" w:eastAsia="Times New Roman" w:hAnsi="Arial" w:cs="Arial"/>
      <w:b/>
      <w:bCs/>
      <w:color w:val="1F3864" w:themeColor="accent1" w:themeShade="80"/>
      <w:kern w:val="32"/>
      <w:sz w:val="32"/>
      <w:szCs w:val="32"/>
      <w:lang w:eastAsia="en-AU"/>
    </w:rPr>
  </w:style>
  <w:style w:type="character" w:customStyle="1" w:styleId="Heading2Char">
    <w:name w:val="Heading 2 Char"/>
    <w:basedOn w:val="DefaultParagraphFont"/>
    <w:link w:val="Heading2"/>
    <w:uiPriority w:val="9"/>
    <w:rsid w:val="00307C0A"/>
    <w:rPr>
      <w:rFonts w:eastAsiaTheme="minorEastAsia"/>
      <w:caps/>
      <w:color w:val="4C2EFE"/>
      <w:spacing w:val="15"/>
      <w:sz w:val="20"/>
      <w:szCs w:val="20"/>
      <w:shd w:val="clear" w:color="auto" w:fill="D9E2F3" w:themeFill="accent1" w:themeFillTint="33"/>
    </w:rPr>
  </w:style>
  <w:style w:type="character" w:customStyle="1" w:styleId="Heading3Char">
    <w:name w:val="Heading 3 Char"/>
    <w:basedOn w:val="DefaultParagraphFont"/>
    <w:link w:val="Heading3"/>
    <w:uiPriority w:val="9"/>
    <w:rsid w:val="00307C0A"/>
    <w:rPr>
      <w:rFonts w:eastAsiaTheme="minorEastAsia"/>
      <w:caps/>
      <w:color w:val="1F3763" w:themeColor="accent1" w:themeShade="7F"/>
      <w:spacing w:val="15"/>
      <w:sz w:val="20"/>
      <w:szCs w:val="20"/>
    </w:rPr>
  </w:style>
  <w:style w:type="character" w:customStyle="1" w:styleId="Heading4Char">
    <w:name w:val="Heading 4 Char"/>
    <w:basedOn w:val="DefaultParagraphFont"/>
    <w:link w:val="Heading4"/>
    <w:uiPriority w:val="9"/>
    <w:rsid w:val="00307C0A"/>
    <w:rPr>
      <w:rFonts w:asciiTheme="majorHAnsi" w:eastAsiaTheme="majorEastAsia" w:hAnsiTheme="majorHAnsi" w:cstheme="majorBidi"/>
      <w:i/>
      <w:iCs/>
      <w:color w:val="2F5496" w:themeColor="accent1" w:themeShade="BF"/>
      <w:sz w:val="20"/>
      <w:szCs w:val="20"/>
    </w:rPr>
  </w:style>
  <w:style w:type="paragraph" w:styleId="Header">
    <w:name w:val="header"/>
    <w:basedOn w:val="Normal"/>
    <w:link w:val="HeaderChar"/>
    <w:uiPriority w:val="99"/>
    <w:unhideWhenUsed/>
    <w:rsid w:val="00307C0A"/>
    <w:pPr>
      <w:tabs>
        <w:tab w:val="center" w:pos="4513"/>
        <w:tab w:val="right" w:pos="9026"/>
      </w:tabs>
      <w:spacing w:after="0" w:line="240" w:lineRule="auto"/>
    </w:pPr>
    <w:rPr>
      <w:rFonts w:eastAsiaTheme="minorEastAsia"/>
      <w:sz w:val="20"/>
      <w:szCs w:val="20"/>
    </w:rPr>
  </w:style>
  <w:style w:type="character" w:customStyle="1" w:styleId="HeaderChar">
    <w:name w:val="Header Char"/>
    <w:basedOn w:val="DefaultParagraphFont"/>
    <w:link w:val="Header"/>
    <w:uiPriority w:val="99"/>
    <w:rsid w:val="00307C0A"/>
    <w:rPr>
      <w:rFonts w:eastAsiaTheme="minorEastAsia"/>
      <w:sz w:val="20"/>
      <w:szCs w:val="20"/>
    </w:rPr>
  </w:style>
  <w:style w:type="paragraph" w:styleId="Footer">
    <w:name w:val="footer"/>
    <w:basedOn w:val="Normal"/>
    <w:link w:val="FooterChar"/>
    <w:unhideWhenUsed/>
    <w:rsid w:val="00307C0A"/>
    <w:pPr>
      <w:tabs>
        <w:tab w:val="center" w:pos="4513"/>
        <w:tab w:val="right" w:pos="9026"/>
      </w:tabs>
      <w:spacing w:after="0" w:line="240" w:lineRule="auto"/>
    </w:pPr>
    <w:rPr>
      <w:rFonts w:eastAsiaTheme="minorEastAsia"/>
      <w:sz w:val="20"/>
      <w:szCs w:val="20"/>
    </w:rPr>
  </w:style>
  <w:style w:type="character" w:customStyle="1" w:styleId="FooterChar">
    <w:name w:val="Footer Char"/>
    <w:basedOn w:val="DefaultParagraphFont"/>
    <w:link w:val="Footer"/>
    <w:rsid w:val="00307C0A"/>
    <w:rPr>
      <w:rFonts w:eastAsiaTheme="minorEastAsia"/>
      <w:sz w:val="20"/>
      <w:szCs w:val="20"/>
    </w:rPr>
  </w:style>
  <w:style w:type="paragraph" w:customStyle="1" w:styleId="AnnualReportTabletext">
    <w:name w:val="Annual Report Table text"/>
    <w:basedOn w:val="Normal"/>
    <w:link w:val="AnnualReportTabletextChar"/>
    <w:rsid w:val="00307C0A"/>
    <w:pPr>
      <w:spacing w:before="240" w:after="240" w:line="240" w:lineRule="exact"/>
    </w:pPr>
    <w:rPr>
      <w:rFonts w:eastAsia="Times New Roman" w:cs="Arial"/>
      <w:sz w:val="18"/>
      <w:szCs w:val="26"/>
      <w:lang w:eastAsia="en-AU"/>
    </w:rPr>
  </w:style>
  <w:style w:type="character" w:customStyle="1" w:styleId="AnnualReportTabletextChar">
    <w:name w:val="Annual Report Table text Char"/>
    <w:link w:val="AnnualReportTabletext"/>
    <w:rsid w:val="00307C0A"/>
    <w:rPr>
      <w:rFonts w:ascii="Arial" w:eastAsia="Times New Roman" w:hAnsi="Arial" w:cs="Arial"/>
      <w:sz w:val="18"/>
      <w:szCs w:val="26"/>
      <w:lang w:eastAsia="en-AU"/>
    </w:rPr>
  </w:style>
  <w:style w:type="paragraph" w:styleId="TOCHeading">
    <w:name w:val="TOC Heading"/>
    <w:basedOn w:val="Heading1"/>
    <w:next w:val="Normal"/>
    <w:uiPriority w:val="39"/>
    <w:unhideWhenUsed/>
    <w:qFormat/>
    <w:rsid w:val="00307C0A"/>
    <w:pPr>
      <w:keepLines/>
      <w:spacing w:after="0" w:line="259" w:lineRule="auto"/>
      <w:outlineLvl w:val="9"/>
    </w:pPr>
    <w:rPr>
      <w:rFonts w:asciiTheme="majorHAnsi" w:eastAsiaTheme="majorEastAsia" w:hAnsiTheme="majorHAnsi" w:cstheme="majorBidi"/>
      <w:b w:val="0"/>
      <w:bCs w:val="0"/>
      <w:kern w:val="0"/>
      <w:sz w:val="48"/>
      <w:lang w:val="en-US" w:eastAsia="en-US"/>
    </w:rPr>
  </w:style>
  <w:style w:type="paragraph" w:styleId="TOC2">
    <w:name w:val="toc 2"/>
    <w:basedOn w:val="Normal"/>
    <w:next w:val="Normal"/>
    <w:autoRedefine/>
    <w:uiPriority w:val="39"/>
    <w:unhideWhenUsed/>
    <w:rsid w:val="00307C0A"/>
    <w:pPr>
      <w:spacing w:before="100" w:after="100" w:line="276" w:lineRule="auto"/>
      <w:ind w:left="200"/>
    </w:pPr>
    <w:rPr>
      <w:rFonts w:eastAsiaTheme="minorEastAsia"/>
      <w:sz w:val="20"/>
      <w:szCs w:val="20"/>
    </w:rPr>
  </w:style>
  <w:style w:type="paragraph" w:styleId="TOC1">
    <w:name w:val="toc 1"/>
    <w:basedOn w:val="Normal"/>
    <w:next w:val="Normal"/>
    <w:autoRedefine/>
    <w:uiPriority w:val="39"/>
    <w:unhideWhenUsed/>
    <w:rsid w:val="00307C0A"/>
    <w:pPr>
      <w:spacing w:before="100" w:after="100" w:line="276" w:lineRule="auto"/>
    </w:pPr>
    <w:rPr>
      <w:rFonts w:eastAsiaTheme="minorEastAsia"/>
      <w:sz w:val="20"/>
      <w:szCs w:val="20"/>
    </w:rPr>
  </w:style>
  <w:style w:type="character" w:styleId="Hyperlink">
    <w:name w:val="Hyperlink"/>
    <w:basedOn w:val="DefaultParagraphFont"/>
    <w:uiPriority w:val="99"/>
    <w:unhideWhenUsed/>
    <w:rsid w:val="00307C0A"/>
    <w:rPr>
      <w:color w:val="0563C1" w:themeColor="hyperlink"/>
      <w:u w:val="single"/>
    </w:rPr>
  </w:style>
  <w:style w:type="paragraph" w:styleId="TOC3">
    <w:name w:val="toc 3"/>
    <w:basedOn w:val="Normal"/>
    <w:next w:val="Normal"/>
    <w:autoRedefine/>
    <w:uiPriority w:val="39"/>
    <w:unhideWhenUsed/>
    <w:rsid w:val="00307C0A"/>
    <w:pPr>
      <w:spacing w:before="100" w:after="100" w:line="276" w:lineRule="auto"/>
      <w:ind w:left="400"/>
    </w:pPr>
    <w:rPr>
      <w:rFonts w:eastAsiaTheme="minorEastAsia"/>
      <w:sz w:val="20"/>
      <w:szCs w:val="20"/>
    </w:rPr>
  </w:style>
  <w:style w:type="paragraph" w:customStyle="1" w:styleId="AADotPoint1">
    <w:name w:val="AA_DotPoint1"/>
    <w:basedOn w:val="Normal"/>
    <w:qFormat/>
    <w:rsid w:val="001A004B"/>
    <w:pPr>
      <w:numPr>
        <w:numId w:val="2"/>
      </w:numPr>
      <w:spacing w:before="120"/>
      <w:ind w:left="397" w:hanging="397"/>
    </w:pPr>
    <w:rPr>
      <w:kern w:val="2"/>
      <w14:ligatures w14:val="standardContextual"/>
    </w:rPr>
  </w:style>
  <w:style w:type="table" w:styleId="TableGrid">
    <w:name w:val="Table Grid"/>
    <w:basedOn w:val="TableNormal"/>
    <w:uiPriority w:val="39"/>
    <w:rsid w:val="001A004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DotPoint1-Italic">
    <w:name w:val="AA_DotPoint1-Italic"/>
    <w:basedOn w:val="AADotPoint1"/>
    <w:qFormat/>
    <w:rsid w:val="001A004B"/>
    <w:pPr>
      <w:numPr>
        <w:numId w:val="3"/>
      </w:numPr>
      <w:spacing w:line="240" w:lineRule="auto"/>
      <w:ind w:left="227" w:hanging="227"/>
    </w:pPr>
    <w:rPr>
      <w:rFonts w:asciiTheme="majorHAnsi" w:hAnsiTheme="majorHAnsi"/>
      <w:i/>
      <w:sz w:val="20"/>
    </w:rPr>
  </w:style>
  <w:style w:type="paragraph" w:customStyle="1" w:styleId="Table">
    <w:name w:val="Table"/>
    <w:basedOn w:val="Normal"/>
    <w:qFormat/>
    <w:rsid w:val="001A004B"/>
    <w:pPr>
      <w:spacing w:before="60" w:after="60" w:line="240" w:lineRule="auto"/>
    </w:pPr>
    <w:rPr>
      <w:kern w:val="2"/>
      <w:sz w:val="20"/>
      <w:lang w:eastAsia="en-AU"/>
      <w14:ligatures w14:val="standardContextual"/>
    </w:rPr>
  </w:style>
  <w:style w:type="paragraph" w:customStyle="1" w:styleId="No">
    <w:name w:val="No."/>
    <w:basedOn w:val="Table"/>
    <w:qFormat/>
    <w:rsid w:val="004B174A"/>
  </w:style>
  <w:style w:type="paragraph" w:customStyle="1" w:styleId="ActivityNo">
    <w:name w:val="Activity_No"/>
    <w:basedOn w:val="Normal"/>
    <w:rsid w:val="000D23FA"/>
    <w:pPr>
      <w:numPr>
        <w:numId w:val="5"/>
      </w:numPr>
      <w:spacing w:before="60" w:after="60"/>
    </w:pPr>
  </w:style>
  <w:style w:type="paragraph" w:styleId="Revision">
    <w:name w:val="Revision"/>
    <w:hidden/>
    <w:uiPriority w:val="99"/>
    <w:semiHidden/>
    <w:rsid w:val="00293477"/>
    <w:pPr>
      <w:spacing w:after="0" w:line="240" w:lineRule="auto"/>
    </w:pPr>
    <w:rPr>
      <w:rFonts w:ascii="Arial" w:hAnsi="Arial"/>
    </w:rPr>
  </w:style>
  <w:style w:type="character" w:styleId="CommentReference">
    <w:name w:val="annotation reference"/>
    <w:basedOn w:val="DefaultParagraphFont"/>
    <w:uiPriority w:val="99"/>
    <w:semiHidden/>
    <w:unhideWhenUsed/>
    <w:rsid w:val="00293477"/>
    <w:rPr>
      <w:sz w:val="16"/>
      <w:szCs w:val="16"/>
    </w:rPr>
  </w:style>
  <w:style w:type="paragraph" w:styleId="CommentText">
    <w:name w:val="annotation text"/>
    <w:basedOn w:val="Normal"/>
    <w:link w:val="CommentTextChar"/>
    <w:uiPriority w:val="99"/>
    <w:unhideWhenUsed/>
    <w:rsid w:val="00293477"/>
    <w:pPr>
      <w:spacing w:line="240" w:lineRule="auto"/>
    </w:pPr>
    <w:rPr>
      <w:sz w:val="20"/>
      <w:szCs w:val="20"/>
    </w:rPr>
  </w:style>
  <w:style w:type="character" w:customStyle="1" w:styleId="CommentTextChar">
    <w:name w:val="Comment Text Char"/>
    <w:basedOn w:val="DefaultParagraphFont"/>
    <w:link w:val="CommentText"/>
    <w:uiPriority w:val="99"/>
    <w:rsid w:val="0029347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93477"/>
    <w:rPr>
      <w:b/>
      <w:bCs/>
    </w:rPr>
  </w:style>
  <w:style w:type="character" w:customStyle="1" w:styleId="CommentSubjectChar">
    <w:name w:val="Comment Subject Char"/>
    <w:basedOn w:val="CommentTextChar"/>
    <w:link w:val="CommentSubject"/>
    <w:uiPriority w:val="99"/>
    <w:semiHidden/>
    <w:rsid w:val="0029347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svg"/><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42137\Downloads\A4%20document_landscape_dar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847E966F6BDD46967E543CB40842C1" ma:contentTypeVersion="4" ma:contentTypeDescription="Create a new document." ma:contentTypeScope="" ma:versionID="0185e815ebaf2cb057214b13f505cc0c">
  <xsd:schema xmlns:xsd="http://www.w3.org/2001/XMLSchema" xmlns:xs="http://www.w3.org/2001/XMLSchema" xmlns:p="http://schemas.microsoft.com/office/2006/metadata/properties" xmlns:ns2="b201e6c4-b586-4748-8a82-07c486997877" targetNamespace="http://schemas.microsoft.com/office/2006/metadata/properties" ma:root="true" ma:fieldsID="513e1cf4c1e2f4280a0015457bcd75dc" ns2:_="">
    <xsd:import namespace="b201e6c4-b586-4748-8a82-07c4869978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1e6c4-b586-4748-8a82-07c486997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EC906-FF1B-49C9-9723-79DBDACA4D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2BB68-0CBB-4473-AFE0-AC9DA2B89091}">
  <ds:schemaRefs>
    <ds:schemaRef ds:uri="http://schemas.openxmlformats.org/officeDocument/2006/bibliography"/>
  </ds:schemaRefs>
</ds:datastoreItem>
</file>

<file path=customXml/itemProps3.xml><?xml version="1.0" encoding="utf-8"?>
<ds:datastoreItem xmlns:ds="http://schemas.openxmlformats.org/officeDocument/2006/customXml" ds:itemID="{E0B2204F-AAE2-4B9E-BC5E-CE9CFA269EF7}">
  <ds:schemaRefs>
    <ds:schemaRef ds:uri="http://schemas.microsoft.com/sharepoint/v3/contenttype/forms"/>
  </ds:schemaRefs>
</ds:datastoreItem>
</file>

<file path=customXml/itemProps4.xml><?xml version="1.0" encoding="utf-8"?>
<ds:datastoreItem xmlns:ds="http://schemas.openxmlformats.org/officeDocument/2006/customXml" ds:itemID="{6D71FA0F-8678-4B50-9318-6B2092F56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1e6c4-b586-4748-8a82-07c486997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8c2150-951d-4bfc-b6e8-617f9314a87a}" enabled="1" method="Privileged" siteId="{45d5d807-c5ae-44c5-bb86-42f20fdebfeb}" contentBits="0" removed="0"/>
</clbl:labelList>
</file>

<file path=docProps/app.xml><?xml version="1.0" encoding="utf-8"?>
<Properties xmlns="http://schemas.openxmlformats.org/officeDocument/2006/extended-properties" xmlns:vt="http://schemas.openxmlformats.org/officeDocument/2006/docPropsVTypes">
  <Template>A4 document_landscape_dark3.dotx</Template>
  <TotalTime>40</TotalTime>
  <Pages>6</Pages>
  <Words>1614</Words>
  <Characters>9202</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Queensland Police Service</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Allam.KristinaM[CCE]</dc:creator>
  <cp:keywords/>
  <dc:description/>
  <cp:lastModifiedBy>Williams.TerryS[MCD]</cp:lastModifiedBy>
  <cp:revision>8</cp:revision>
  <cp:lastPrinted>2026-07-14T00:28:00Z</cp:lastPrinted>
  <dcterms:created xsi:type="dcterms:W3CDTF">2026-05-27T04:18:00Z</dcterms:created>
  <dcterms:modified xsi:type="dcterms:W3CDTF">2026-07-14T05:28:00Z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0x010100FD847E966F6BDD46967E543CB40842C1</vt:lpwstr>
  </property>
  <property fmtid="{D5CDD505-2E9C-101B-9397-08002B2CF9AE}" pid="3" name="docLang">
    <vt:lpwstr>en</vt:lpwstr>
  </property>
</Properties>
</file>